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0A5" w:rsidRPr="00F360A5" w:rsidRDefault="00F360A5" w:rsidP="00F360A5">
      <w:pPr>
        <w:shd w:val="clear" w:color="auto" w:fill="FFFFFF"/>
        <w:spacing w:after="0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7DBE37"/>
          <w:sz w:val="33"/>
          <w:szCs w:val="33"/>
          <w:lang w:eastAsia="ru-RU"/>
        </w:rPr>
      </w:pPr>
      <w:r w:rsidRPr="00F360A5">
        <w:rPr>
          <w:rFonts w:ascii="Verdana" w:eastAsia="Times New Roman" w:hAnsi="Verdana" w:cs="Times New Roman"/>
          <w:b/>
          <w:bCs/>
          <w:color w:val="7DBE37"/>
          <w:sz w:val="33"/>
          <w:szCs w:val="33"/>
          <w:lang w:eastAsia="ru-RU"/>
        </w:rPr>
        <w:t>Что такое реакция Манту</w:t>
      </w:r>
    </w:p>
    <w:p w:rsidR="00F360A5" w:rsidRPr="00F360A5" w:rsidRDefault="00F360A5" w:rsidP="00F360A5">
      <w:pPr>
        <w:shd w:val="clear" w:color="auto" w:fill="FFFFFF"/>
        <w:spacing w:after="0" w:line="270" w:lineRule="atLeast"/>
        <w:jc w:val="both"/>
        <w:rPr>
          <w:rFonts w:ascii="Verdana" w:eastAsia="Times New Roman" w:hAnsi="Verdana" w:cs="Times New Roman"/>
          <w:color w:val="333333"/>
          <w:spacing w:val="2"/>
          <w:sz w:val="20"/>
          <w:szCs w:val="20"/>
          <w:lang w:eastAsia="ru-RU"/>
        </w:rPr>
      </w:pPr>
      <w:r w:rsidRPr="00F360A5">
        <w:rPr>
          <w:rFonts w:ascii="Verdana" w:eastAsia="Times New Roman" w:hAnsi="Verdana" w:cs="Times New Roman"/>
          <w:noProof/>
          <w:color w:val="7DBE37"/>
          <w:sz w:val="33"/>
          <w:szCs w:val="33"/>
          <w:lang w:eastAsia="ru-RU"/>
        </w:rPr>
        <w:drawing>
          <wp:anchor distT="95250" distB="95250" distL="95250" distR="95250" simplePos="0" relativeHeight="251659264" behindDoc="0" locked="0" layoutInCell="1" allowOverlap="0" wp14:anchorId="7F6DAD56" wp14:editId="2D9FB16E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857500" cy="2295525"/>
            <wp:effectExtent l="0" t="0" r="0" b="9525"/>
            <wp:wrapSquare wrapText="bothSides"/>
            <wp:docPr id="1" name="Рисунок 1" descr="Что такое реакция Мант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Что такое реакция Манту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60A5">
        <w:rPr>
          <w:rFonts w:ascii="Verdana" w:eastAsia="Times New Roman" w:hAnsi="Verdana" w:cs="Times New Roman"/>
          <w:color w:val="333333"/>
          <w:spacing w:val="2"/>
          <w:sz w:val="20"/>
          <w:szCs w:val="20"/>
          <w:lang w:eastAsia="ru-RU"/>
        </w:rPr>
        <w:t>Реакция Манту - это основной метод профилактического обследования детей на туберкулез, иммунологический тест, который показывает, есть ли в организме туберкулезная инфекция.</w:t>
      </w:r>
    </w:p>
    <w:p w:rsidR="00F360A5" w:rsidRPr="00F360A5" w:rsidRDefault="00F360A5" w:rsidP="00F360A5">
      <w:pPr>
        <w:shd w:val="clear" w:color="auto" w:fill="FFFFFF"/>
        <w:spacing w:after="0" w:line="270" w:lineRule="atLeast"/>
        <w:jc w:val="both"/>
        <w:rPr>
          <w:rFonts w:ascii="Verdana" w:eastAsia="Times New Roman" w:hAnsi="Verdana" w:cs="Times New Roman"/>
          <w:color w:val="333333"/>
          <w:spacing w:val="2"/>
          <w:sz w:val="20"/>
          <w:szCs w:val="20"/>
          <w:lang w:eastAsia="ru-RU"/>
        </w:rPr>
      </w:pPr>
      <w:r w:rsidRPr="00F360A5">
        <w:rPr>
          <w:rFonts w:ascii="Verdana" w:eastAsia="Times New Roman" w:hAnsi="Verdana" w:cs="Times New Roman"/>
          <w:color w:val="333333"/>
          <w:spacing w:val="2"/>
          <w:sz w:val="20"/>
          <w:szCs w:val="20"/>
          <w:lang w:eastAsia="ru-RU"/>
        </w:rPr>
        <w:t xml:space="preserve">Реакция Манту – это реакция организма на введение туберкулина. В месте введения препарата в кожу возникает специфическое воспаление, вызванное инфильтрацией лимфоцитами – специфическими клетками крови, ответственными за клеточный иммунитет (в отличие от </w:t>
      </w:r>
      <w:proofErr w:type="spellStart"/>
      <w:r w:rsidRPr="00F360A5">
        <w:rPr>
          <w:rFonts w:ascii="Verdana" w:eastAsia="Times New Roman" w:hAnsi="Verdana" w:cs="Times New Roman"/>
          <w:color w:val="333333"/>
          <w:spacing w:val="2"/>
          <w:sz w:val="20"/>
          <w:szCs w:val="20"/>
          <w:lang w:eastAsia="ru-RU"/>
        </w:rPr>
        <w:t>антительного</w:t>
      </w:r>
      <w:proofErr w:type="spellEnd"/>
      <w:r w:rsidRPr="00F360A5">
        <w:rPr>
          <w:rFonts w:ascii="Verdana" w:eastAsia="Times New Roman" w:hAnsi="Verdana" w:cs="Times New Roman"/>
          <w:color w:val="333333"/>
          <w:spacing w:val="2"/>
          <w:sz w:val="20"/>
          <w:szCs w:val="20"/>
          <w:lang w:eastAsia="ru-RU"/>
        </w:rPr>
        <w:t xml:space="preserve"> иммунного ответа, при котором основную роль играют белки-антитела). Фрагменты микобактерий как бы притягивают к себе лимфоциты из пролегающих поблизости кровеносных сосудов кожи. Но в игру вступают не все лимфоциты, а только те, что уже полностью или частично «знакомы» с палочкой Коха. Если организм уже имел шанс «познакомится» с настоящей микобактерией туберкулеза, то таких лимфоцитов будет больше, воспаление интенсивнее, а реакция будет «положительной» (есть инфицирование палочкой Коха). Естественно, положительная реакция означает, что воспаление превышает таковое, вызываемое самим уколом и некий диагностический порог. Измеряя линейкой диаметр папулы (воспалительной «бляшки» или «пуговки») можно оценить напряженность иммунитета к туберкулезной палочке.</w:t>
      </w:r>
    </w:p>
    <w:p w:rsidR="00F360A5" w:rsidRPr="00F360A5" w:rsidRDefault="00F360A5" w:rsidP="00F360A5">
      <w:pPr>
        <w:shd w:val="clear" w:color="auto" w:fill="FFFFFF"/>
        <w:spacing w:after="0" w:line="270" w:lineRule="atLeast"/>
        <w:jc w:val="both"/>
        <w:rPr>
          <w:rFonts w:ascii="Verdana" w:eastAsia="Times New Roman" w:hAnsi="Verdana" w:cs="Times New Roman"/>
          <w:color w:val="333333"/>
          <w:spacing w:val="2"/>
          <w:sz w:val="20"/>
          <w:szCs w:val="20"/>
          <w:lang w:eastAsia="ru-RU"/>
        </w:rPr>
      </w:pPr>
      <w:r w:rsidRPr="00F360A5">
        <w:rPr>
          <w:rFonts w:ascii="Verdana" w:eastAsia="Times New Roman" w:hAnsi="Verdana" w:cs="Times New Roman"/>
          <w:color w:val="333333"/>
          <w:spacing w:val="2"/>
          <w:sz w:val="20"/>
          <w:szCs w:val="20"/>
          <w:lang w:eastAsia="ru-RU"/>
        </w:rPr>
        <w:t>Строго говоря, реакция организма на туберкулин является одной из разновидностей аллергии (ибо туберкулин сам по себе не является полноценным антигеном, но скорее аллергеном).</w:t>
      </w:r>
    </w:p>
    <w:p w:rsidR="00F360A5" w:rsidRPr="00F360A5" w:rsidRDefault="00F360A5" w:rsidP="00F360A5">
      <w:pPr>
        <w:shd w:val="clear" w:color="auto" w:fill="FFFFFF"/>
        <w:spacing w:after="0" w:line="270" w:lineRule="atLeast"/>
        <w:rPr>
          <w:rFonts w:ascii="Verdana" w:eastAsia="Times New Roman" w:hAnsi="Verdana" w:cs="Times New Roman"/>
          <w:color w:val="333333"/>
          <w:spacing w:val="2"/>
          <w:sz w:val="20"/>
          <w:szCs w:val="20"/>
          <w:lang w:eastAsia="ru-RU"/>
        </w:rPr>
      </w:pPr>
      <w:r w:rsidRPr="00F360A5">
        <w:rPr>
          <w:rFonts w:ascii="Verdana" w:eastAsia="Times New Roman" w:hAnsi="Verdana" w:cs="Times New Roman"/>
          <w:color w:val="333333"/>
          <w:spacing w:val="2"/>
          <w:sz w:val="20"/>
          <w:szCs w:val="20"/>
          <w:lang w:eastAsia="ru-RU"/>
        </w:rPr>
        <w:t> </w:t>
      </w:r>
    </w:p>
    <w:p w:rsidR="00F360A5" w:rsidRPr="00F360A5" w:rsidRDefault="00F360A5" w:rsidP="00F360A5">
      <w:pPr>
        <w:shd w:val="clear" w:color="auto" w:fill="FFFFFF"/>
        <w:spacing w:after="0" w:line="270" w:lineRule="atLeast"/>
        <w:rPr>
          <w:rFonts w:ascii="Verdana" w:eastAsia="Times New Roman" w:hAnsi="Verdana" w:cs="Times New Roman"/>
          <w:color w:val="333333"/>
          <w:spacing w:val="2"/>
          <w:sz w:val="20"/>
          <w:szCs w:val="20"/>
          <w:lang w:eastAsia="ru-RU"/>
        </w:rPr>
      </w:pPr>
      <w:r w:rsidRPr="00F360A5">
        <w:rPr>
          <w:rFonts w:ascii="Verdana" w:eastAsia="Times New Roman" w:hAnsi="Verdana" w:cs="Times New Roman"/>
          <w:color w:val="333333"/>
          <w:spacing w:val="2"/>
          <w:sz w:val="20"/>
          <w:szCs w:val="20"/>
          <w:lang w:eastAsia="ru-RU"/>
        </w:rPr>
        <w:t> </w:t>
      </w:r>
    </w:p>
    <w:p w:rsidR="00F360A5" w:rsidRPr="00F360A5" w:rsidRDefault="00F360A5" w:rsidP="00F360A5">
      <w:pPr>
        <w:shd w:val="clear" w:color="auto" w:fill="FFFFFF"/>
        <w:spacing w:after="0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7DBE37"/>
          <w:sz w:val="33"/>
          <w:szCs w:val="33"/>
          <w:lang w:eastAsia="ru-RU"/>
        </w:rPr>
      </w:pPr>
      <w:r w:rsidRPr="00F360A5">
        <w:rPr>
          <w:rFonts w:ascii="Verdana" w:eastAsia="Times New Roman" w:hAnsi="Verdana" w:cs="Times New Roman"/>
          <w:b/>
          <w:bCs/>
          <w:color w:val="7DBE37"/>
          <w:sz w:val="33"/>
          <w:szCs w:val="33"/>
          <w:lang w:eastAsia="ru-RU"/>
        </w:rPr>
        <w:t>Первая Манту ставится в год</w:t>
      </w:r>
    </w:p>
    <w:p w:rsidR="00F360A5" w:rsidRPr="00F360A5" w:rsidRDefault="00F360A5" w:rsidP="00F360A5">
      <w:pPr>
        <w:shd w:val="clear" w:color="auto" w:fill="FFFFFF"/>
        <w:spacing w:after="0" w:line="270" w:lineRule="atLeast"/>
        <w:jc w:val="both"/>
        <w:rPr>
          <w:rFonts w:ascii="Verdana" w:eastAsia="Times New Roman" w:hAnsi="Verdana" w:cs="Times New Roman"/>
          <w:color w:val="333333"/>
          <w:spacing w:val="2"/>
          <w:sz w:val="20"/>
          <w:szCs w:val="20"/>
          <w:lang w:eastAsia="ru-RU"/>
        </w:rPr>
      </w:pPr>
      <w:r w:rsidRPr="00F360A5">
        <w:rPr>
          <w:rFonts w:ascii="Verdana" w:eastAsia="Times New Roman" w:hAnsi="Verdana" w:cs="Times New Roman"/>
          <w:color w:val="333333"/>
          <w:spacing w:val="2"/>
          <w:sz w:val="20"/>
          <w:szCs w:val="20"/>
          <w:lang w:eastAsia="ru-RU"/>
        </w:rPr>
        <w:t>Ежегодному обследованию с помощью внутрикожной пробы Манту подлежат практически здоровые дети и подростки, начиная с 12-месячного возраста, независимо от результатов предыдущей пробы.</w:t>
      </w:r>
    </w:p>
    <w:p w:rsidR="00F360A5" w:rsidRPr="00F360A5" w:rsidRDefault="00F360A5" w:rsidP="00F360A5">
      <w:pPr>
        <w:shd w:val="clear" w:color="auto" w:fill="FFFFFF"/>
        <w:spacing w:after="0" w:line="270" w:lineRule="atLeast"/>
        <w:jc w:val="both"/>
        <w:rPr>
          <w:rFonts w:ascii="Verdana" w:eastAsia="Times New Roman" w:hAnsi="Verdana" w:cs="Times New Roman"/>
          <w:color w:val="333333"/>
          <w:spacing w:val="2"/>
          <w:sz w:val="20"/>
          <w:szCs w:val="20"/>
          <w:lang w:eastAsia="ru-RU"/>
        </w:rPr>
      </w:pPr>
      <w:r w:rsidRPr="00F360A5">
        <w:rPr>
          <w:rFonts w:ascii="Verdana" w:eastAsia="Times New Roman" w:hAnsi="Verdana" w:cs="Times New Roman"/>
          <w:color w:val="333333"/>
          <w:spacing w:val="2"/>
          <w:sz w:val="20"/>
          <w:szCs w:val="20"/>
          <w:lang w:eastAsia="ru-RU"/>
        </w:rPr>
        <w:t>И тут начинаются противоречия. Доказано, что постановка пробы не имеет смысла у детей младше 12 месяцев, ибо результат пробы будет недостоверным или неточным, в связи с возрастными особенностями развития иммунной системы – реакция может быть ложноотрицательной. Дети младше 6 месяцев неспособны адекватно отвечать на пробу Манту. Но при этом существует следующая практика: детям, не привитым в период новорожденности, проба Манту ставится 2 раза в год, начиная с 6-месячного возраста, до проведения ребенку прививки вакциной БЦЖ. </w:t>
      </w:r>
    </w:p>
    <w:p w:rsidR="00F360A5" w:rsidRPr="00F360A5" w:rsidRDefault="00F360A5" w:rsidP="00F360A5">
      <w:pPr>
        <w:shd w:val="clear" w:color="auto" w:fill="FFFFFF"/>
        <w:spacing w:after="0" w:line="270" w:lineRule="atLeast"/>
        <w:rPr>
          <w:rFonts w:ascii="Verdana" w:eastAsia="Times New Roman" w:hAnsi="Verdana" w:cs="Times New Roman"/>
          <w:color w:val="333333"/>
          <w:spacing w:val="2"/>
          <w:sz w:val="20"/>
          <w:szCs w:val="20"/>
          <w:lang w:eastAsia="ru-RU"/>
        </w:rPr>
      </w:pPr>
      <w:r w:rsidRPr="00F360A5">
        <w:rPr>
          <w:rFonts w:ascii="Verdana" w:eastAsia="Times New Roman" w:hAnsi="Verdana" w:cs="Times New Roman"/>
          <w:color w:val="333333"/>
          <w:spacing w:val="2"/>
          <w:sz w:val="20"/>
          <w:szCs w:val="20"/>
          <w:lang w:eastAsia="ru-RU"/>
        </w:rPr>
        <w:t> </w:t>
      </w:r>
    </w:p>
    <w:p w:rsidR="00F360A5" w:rsidRPr="00F360A5" w:rsidRDefault="00F360A5" w:rsidP="00F360A5">
      <w:pPr>
        <w:shd w:val="clear" w:color="auto" w:fill="FFFFFF"/>
        <w:spacing w:after="0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7DBE37"/>
          <w:sz w:val="33"/>
          <w:szCs w:val="33"/>
          <w:lang w:eastAsia="ru-RU"/>
        </w:rPr>
      </w:pPr>
      <w:r w:rsidRPr="00F360A5">
        <w:rPr>
          <w:rFonts w:ascii="Verdana" w:eastAsia="Times New Roman" w:hAnsi="Verdana" w:cs="Times New Roman"/>
          <w:b/>
          <w:bCs/>
          <w:color w:val="7DBE37"/>
          <w:sz w:val="33"/>
          <w:szCs w:val="33"/>
          <w:lang w:eastAsia="ru-RU"/>
        </w:rPr>
        <w:t>Уход за «пуговкой»</w:t>
      </w:r>
    </w:p>
    <w:p w:rsidR="00F360A5" w:rsidRPr="00F360A5" w:rsidRDefault="00F360A5" w:rsidP="00F360A5">
      <w:pPr>
        <w:shd w:val="clear" w:color="auto" w:fill="FFFFFF"/>
        <w:spacing w:after="0" w:line="270" w:lineRule="atLeast"/>
        <w:jc w:val="both"/>
        <w:rPr>
          <w:rFonts w:ascii="Verdana" w:eastAsia="Times New Roman" w:hAnsi="Verdana" w:cs="Times New Roman"/>
          <w:color w:val="333333"/>
          <w:spacing w:val="2"/>
          <w:sz w:val="20"/>
          <w:szCs w:val="20"/>
          <w:lang w:eastAsia="ru-RU"/>
        </w:rPr>
      </w:pPr>
      <w:r w:rsidRPr="00F360A5">
        <w:rPr>
          <w:rFonts w:ascii="Verdana" w:eastAsia="Times New Roman" w:hAnsi="Verdana" w:cs="Times New Roman"/>
          <w:color w:val="333333"/>
          <w:spacing w:val="2"/>
          <w:sz w:val="20"/>
          <w:szCs w:val="20"/>
          <w:lang w:eastAsia="ru-RU"/>
        </w:rPr>
        <w:t>После введения туберкулина образуется специфическое выбухание верхнего слоя кожи более известное как «пуговка».</w:t>
      </w:r>
    </w:p>
    <w:p w:rsidR="00F360A5" w:rsidRPr="00F360A5" w:rsidRDefault="00F360A5" w:rsidP="00F360A5">
      <w:pPr>
        <w:shd w:val="clear" w:color="auto" w:fill="FFFFFF"/>
        <w:spacing w:after="0" w:line="270" w:lineRule="atLeast"/>
        <w:jc w:val="both"/>
        <w:rPr>
          <w:rFonts w:ascii="Verdana" w:eastAsia="Times New Roman" w:hAnsi="Verdana" w:cs="Times New Roman"/>
          <w:color w:val="333333"/>
          <w:spacing w:val="2"/>
          <w:sz w:val="20"/>
          <w:szCs w:val="20"/>
          <w:lang w:eastAsia="ru-RU"/>
        </w:rPr>
      </w:pPr>
      <w:r w:rsidRPr="00F360A5">
        <w:rPr>
          <w:rFonts w:ascii="Verdana" w:eastAsia="Times New Roman" w:hAnsi="Verdana" w:cs="Times New Roman"/>
          <w:color w:val="333333"/>
          <w:spacing w:val="2"/>
          <w:sz w:val="20"/>
          <w:szCs w:val="20"/>
          <w:lang w:eastAsia="ru-RU"/>
        </w:rPr>
        <w:t xml:space="preserve">Неправильное обращение с местом постановки пробы может повлиять на результат реакции, а это не нужно ни пациенту, ни врачу. До момента оценки результатов не надо мазать пуговку зеленкой, перекисью. Очень важно не допускать контакта места пробы с водой и другими жидкостями. Не нужно заклеивать ранку лейкопластырем – под ним кожа может потеть. Не допускайте того, чтобы ребенок расчесывал место введения туберкулина. После оценки результатов, если образовался гнойничок или </w:t>
      </w:r>
      <w:r w:rsidRPr="00F360A5">
        <w:rPr>
          <w:rFonts w:ascii="Verdana" w:eastAsia="Times New Roman" w:hAnsi="Verdana" w:cs="Times New Roman"/>
          <w:color w:val="333333"/>
          <w:spacing w:val="2"/>
          <w:sz w:val="20"/>
          <w:szCs w:val="20"/>
          <w:lang w:eastAsia="ru-RU"/>
        </w:rPr>
        <w:lastRenderedPageBreak/>
        <w:t>язвочка, ее можно обрабатывать как любую другую ранку, с применением всех традиционных средств.</w:t>
      </w:r>
    </w:p>
    <w:p w:rsidR="00F360A5" w:rsidRPr="00F360A5" w:rsidRDefault="00F360A5" w:rsidP="00F360A5">
      <w:pPr>
        <w:shd w:val="clear" w:color="auto" w:fill="FFFFFF"/>
        <w:spacing w:after="0" w:line="270" w:lineRule="atLeast"/>
        <w:rPr>
          <w:rFonts w:ascii="Verdana" w:eastAsia="Times New Roman" w:hAnsi="Verdana" w:cs="Times New Roman"/>
          <w:color w:val="333333"/>
          <w:spacing w:val="2"/>
          <w:sz w:val="20"/>
          <w:szCs w:val="20"/>
          <w:lang w:eastAsia="ru-RU"/>
        </w:rPr>
      </w:pPr>
      <w:r w:rsidRPr="00F360A5">
        <w:rPr>
          <w:rFonts w:ascii="Verdana" w:eastAsia="Times New Roman" w:hAnsi="Verdana" w:cs="Times New Roman"/>
          <w:color w:val="333333"/>
          <w:spacing w:val="2"/>
          <w:sz w:val="20"/>
          <w:szCs w:val="20"/>
          <w:lang w:eastAsia="ru-RU"/>
        </w:rPr>
        <w:t> </w:t>
      </w:r>
    </w:p>
    <w:p w:rsidR="00F360A5" w:rsidRPr="00F360A5" w:rsidRDefault="00F360A5" w:rsidP="00F360A5">
      <w:pPr>
        <w:shd w:val="clear" w:color="auto" w:fill="FFFFFF"/>
        <w:spacing w:after="0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7DBE37"/>
          <w:sz w:val="33"/>
          <w:szCs w:val="33"/>
          <w:lang w:eastAsia="ru-RU"/>
        </w:rPr>
      </w:pPr>
      <w:r w:rsidRPr="00F360A5">
        <w:rPr>
          <w:rFonts w:ascii="Verdana" w:eastAsia="Times New Roman" w:hAnsi="Verdana" w:cs="Times New Roman"/>
          <w:b/>
          <w:bCs/>
          <w:color w:val="7DBE37"/>
          <w:sz w:val="33"/>
          <w:szCs w:val="33"/>
          <w:lang w:eastAsia="ru-RU"/>
        </w:rPr>
        <w:t>Что может повлиять на реакцию Манту?</w:t>
      </w:r>
    </w:p>
    <w:p w:rsidR="00F360A5" w:rsidRPr="00F360A5" w:rsidRDefault="00F360A5" w:rsidP="00F360A5">
      <w:pPr>
        <w:shd w:val="clear" w:color="auto" w:fill="FFFFFF"/>
        <w:spacing w:after="0" w:line="270" w:lineRule="atLeast"/>
        <w:jc w:val="both"/>
        <w:rPr>
          <w:rFonts w:ascii="Verdana" w:eastAsia="Times New Roman" w:hAnsi="Verdana" w:cs="Times New Roman"/>
          <w:color w:val="333333"/>
          <w:spacing w:val="2"/>
          <w:sz w:val="20"/>
          <w:szCs w:val="20"/>
          <w:lang w:eastAsia="ru-RU"/>
        </w:rPr>
      </w:pPr>
      <w:r w:rsidRPr="00F360A5">
        <w:rPr>
          <w:rFonts w:ascii="Verdana" w:eastAsia="Times New Roman" w:hAnsi="Verdana" w:cs="Times New Roman"/>
          <w:color w:val="333333"/>
          <w:spacing w:val="2"/>
          <w:sz w:val="20"/>
          <w:szCs w:val="20"/>
          <w:lang w:eastAsia="ru-RU"/>
        </w:rPr>
        <w:t>Реакция организма на туберкулин является одной из разновидностей аллергии. Именно поэтому имеющиеся аллергические заболевания могут влиять на результат пробы Манту - это и пищевая или медикаментозная аллергия, и аллергический дерматит. На результат реакции могут влиять недавно перенесенные инфекции, хроническая патология, иммунитет к нетуберкулезным микобактериям, возраст. Не последнюю роль играют и другие сопутствующие факторы: индивидуальные характеристики чувствительности кожи, фаза менструального цикла у девушек, сбалансированность питания ребенка. Даже глисты способствуют положительной реакции Манту. Воздействие на результаты пробы оказывают неблагоприятные экологические факторы: повышенный радиационный фон, вредные выбросы химических производств.</w:t>
      </w:r>
    </w:p>
    <w:p w:rsidR="00F360A5" w:rsidRPr="00F360A5" w:rsidRDefault="00F360A5" w:rsidP="00F360A5">
      <w:pPr>
        <w:shd w:val="clear" w:color="auto" w:fill="FFFFFF"/>
        <w:spacing w:after="0" w:line="270" w:lineRule="atLeast"/>
        <w:jc w:val="both"/>
        <w:rPr>
          <w:rFonts w:ascii="Verdana" w:eastAsia="Times New Roman" w:hAnsi="Verdana" w:cs="Times New Roman"/>
          <w:color w:val="333333"/>
          <w:spacing w:val="2"/>
          <w:sz w:val="20"/>
          <w:szCs w:val="20"/>
          <w:lang w:eastAsia="ru-RU"/>
        </w:rPr>
      </w:pPr>
      <w:r w:rsidRPr="00F360A5">
        <w:rPr>
          <w:rFonts w:ascii="Verdana" w:eastAsia="Times New Roman" w:hAnsi="Verdana" w:cs="Times New Roman"/>
          <w:color w:val="333333"/>
          <w:spacing w:val="2"/>
          <w:sz w:val="20"/>
          <w:szCs w:val="20"/>
          <w:lang w:eastAsia="ru-RU"/>
        </w:rPr>
        <w:t xml:space="preserve">На результаты </w:t>
      </w:r>
      <w:proofErr w:type="spellStart"/>
      <w:r w:rsidRPr="00F360A5">
        <w:rPr>
          <w:rFonts w:ascii="Verdana" w:eastAsia="Times New Roman" w:hAnsi="Verdana" w:cs="Times New Roman"/>
          <w:color w:val="333333"/>
          <w:spacing w:val="2"/>
          <w:sz w:val="20"/>
          <w:szCs w:val="20"/>
          <w:lang w:eastAsia="ru-RU"/>
        </w:rPr>
        <w:t>туберкулинодиагностики</w:t>
      </w:r>
      <w:proofErr w:type="spellEnd"/>
      <w:r w:rsidRPr="00F360A5">
        <w:rPr>
          <w:rFonts w:ascii="Verdana" w:eastAsia="Times New Roman" w:hAnsi="Verdana" w:cs="Times New Roman"/>
          <w:color w:val="333333"/>
          <w:spacing w:val="2"/>
          <w:sz w:val="20"/>
          <w:szCs w:val="20"/>
          <w:lang w:eastAsia="ru-RU"/>
        </w:rPr>
        <w:t xml:space="preserve"> также могут влиять различные нарушения в методике ее проведения: транспортировке и хранении туберкулина, при применении нестандартного и некачественного инструментария, при погрешностях в технике постановки и чтения реакций Манту.</w:t>
      </w:r>
    </w:p>
    <w:p w:rsidR="00F360A5" w:rsidRPr="00F360A5" w:rsidRDefault="00F360A5" w:rsidP="00F360A5">
      <w:pPr>
        <w:shd w:val="clear" w:color="auto" w:fill="FFFFFF"/>
        <w:spacing w:after="0" w:line="270" w:lineRule="atLeast"/>
        <w:jc w:val="both"/>
        <w:rPr>
          <w:rFonts w:ascii="Verdana" w:eastAsia="Times New Roman" w:hAnsi="Verdana" w:cs="Times New Roman"/>
          <w:color w:val="333333"/>
          <w:spacing w:val="2"/>
          <w:sz w:val="20"/>
          <w:szCs w:val="20"/>
          <w:lang w:eastAsia="ru-RU"/>
        </w:rPr>
      </w:pPr>
      <w:r w:rsidRPr="00F360A5">
        <w:rPr>
          <w:rFonts w:ascii="Verdana" w:eastAsia="Times New Roman" w:hAnsi="Verdana" w:cs="Times New Roman"/>
          <w:color w:val="333333"/>
          <w:spacing w:val="2"/>
          <w:sz w:val="20"/>
          <w:szCs w:val="20"/>
          <w:lang w:eastAsia="ru-RU"/>
        </w:rPr>
        <w:t>Также в Инструкции указывается на возможную индивидуальную непереносимость туберкулина, при которой, по логике, реакция Манту просто противопоказана  (именно это я и пытаюсь доказать медикам в отношении своего ребенка – на вводимый туберкулин поднимается высокая температура, наблюдается общая вялость, плохое самочувствие, расстройство желудочно-кишечного тракта). </w:t>
      </w:r>
    </w:p>
    <w:p w:rsidR="00F360A5" w:rsidRPr="00F360A5" w:rsidRDefault="00F360A5" w:rsidP="00F360A5">
      <w:pPr>
        <w:shd w:val="clear" w:color="auto" w:fill="FFFFFF"/>
        <w:spacing w:after="0" w:line="270" w:lineRule="atLeast"/>
        <w:jc w:val="both"/>
        <w:rPr>
          <w:rFonts w:ascii="Verdana" w:eastAsia="Times New Roman" w:hAnsi="Verdana" w:cs="Times New Roman"/>
          <w:color w:val="333333"/>
          <w:spacing w:val="2"/>
          <w:sz w:val="20"/>
          <w:szCs w:val="20"/>
          <w:lang w:eastAsia="ru-RU"/>
        </w:rPr>
      </w:pPr>
      <w:r w:rsidRPr="00F360A5">
        <w:rPr>
          <w:rFonts w:ascii="Verdana" w:eastAsia="Times New Roman" w:hAnsi="Verdana" w:cs="Times New Roman"/>
          <w:color w:val="333333"/>
          <w:spacing w:val="2"/>
          <w:sz w:val="20"/>
          <w:szCs w:val="20"/>
          <w:lang w:eastAsia="ru-RU"/>
        </w:rPr>
        <w:t>С учетом вышеперечисленных факторов, в изолированном виде, сама по себе положительная реакция Манту не является 100% доказательством инфицирования туберкулезом.</w:t>
      </w:r>
    </w:p>
    <w:p w:rsidR="00F360A5" w:rsidRPr="00F360A5" w:rsidRDefault="00F360A5" w:rsidP="00F360A5">
      <w:pPr>
        <w:shd w:val="clear" w:color="auto" w:fill="FFFFFF"/>
        <w:spacing w:after="0" w:line="270" w:lineRule="atLeast"/>
        <w:jc w:val="both"/>
        <w:rPr>
          <w:rFonts w:ascii="Verdana" w:eastAsia="Times New Roman" w:hAnsi="Verdana" w:cs="Times New Roman"/>
          <w:color w:val="333333"/>
          <w:spacing w:val="2"/>
          <w:sz w:val="20"/>
          <w:szCs w:val="20"/>
          <w:lang w:eastAsia="ru-RU"/>
        </w:rPr>
      </w:pPr>
      <w:r w:rsidRPr="00F360A5">
        <w:rPr>
          <w:rFonts w:ascii="Verdana" w:eastAsia="Times New Roman" w:hAnsi="Verdana" w:cs="Times New Roman"/>
          <w:b/>
          <w:bCs/>
          <w:color w:val="333333"/>
          <w:spacing w:val="2"/>
          <w:sz w:val="20"/>
          <w:szCs w:val="20"/>
          <w:lang w:eastAsia="ru-RU"/>
        </w:rPr>
        <w:t>Противопоказания к проведению пробы Манту:</w:t>
      </w:r>
    </w:p>
    <w:p w:rsidR="00F360A5" w:rsidRPr="00F360A5" w:rsidRDefault="00F360A5" w:rsidP="00F360A5">
      <w:pPr>
        <w:numPr>
          <w:ilvl w:val="0"/>
          <w:numId w:val="1"/>
        </w:numPr>
        <w:shd w:val="clear" w:color="auto" w:fill="FFFFFF"/>
        <w:spacing w:after="0" w:line="234" w:lineRule="atLeast"/>
        <w:ind w:left="0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F360A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кожные заболевания</w:t>
      </w:r>
    </w:p>
    <w:p w:rsidR="00F360A5" w:rsidRPr="00F360A5" w:rsidRDefault="00F360A5" w:rsidP="00F360A5">
      <w:pPr>
        <w:numPr>
          <w:ilvl w:val="0"/>
          <w:numId w:val="1"/>
        </w:numPr>
        <w:shd w:val="clear" w:color="auto" w:fill="FFFFFF"/>
        <w:spacing w:after="0" w:line="234" w:lineRule="atLeast"/>
        <w:ind w:left="0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F360A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острые и хронические инфекционные и соматические заболевания в стадии обострения (проба Манту ставится через 1 месяц после исчезновения всех клинических симптомов или сразу после снятия карантина)</w:t>
      </w:r>
    </w:p>
    <w:p w:rsidR="00F360A5" w:rsidRPr="00F360A5" w:rsidRDefault="00F360A5" w:rsidP="00F360A5">
      <w:pPr>
        <w:numPr>
          <w:ilvl w:val="0"/>
          <w:numId w:val="1"/>
        </w:numPr>
        <w:shd w:val="clear" w:color="auto" w:fill="FFFFFF"/>
        <w:spacing w:after="0" w:line="234" w:lineRule="atLeast"/>
        <w:ind w:left="0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F360A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аллергические состояния</w:t>
      </w:r>
    </w:p>
    <w:p w:rsidR="00F360A5" w:rsidRPr="00F360A5" w:rsidRDefault="00F360A5" w:rsidP="00F360A5">
      <w:pPr>
        <w:numPr>
          <w:ilvl w:val="0"/>
          <w:numId w:val="1"/>
        </w:numPr>
        <w:shd w:val="clear" w:color="auto" w:fill="FFFFFF"/>
        <w:spacing w:after="0" w:line="234" w:lineRule="atLeast"/>
        <w:ind w:left="0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F360A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эпилепсия.</w:t>
      </w:r>
    </w:p>
    <w:p w:rsidR="00F360A5" w:rsidRPr="00F360A5" w:rsidRDefault="00F360A5" w:rsidP="00F360A5">
      <w:pPr>
        <w:shd w:val="clear" w:color="auto" w:fill="FFFFFF"/>
        <w:spacing w:after="0" w:line="270" w:lineRule="atLeast"/>
        <w:jc w:val="both"/>
        <w:rPr>
          <w:rFonts w:ascii="Verdana" w:eastAsia="Times New Roman" w:hAnsi="Verdana" w:cs="Times New Roman"/>
          <w:color w:val="333333"/>
          <w:spacing w:val="2"/>
          <w:sz w:val="20"/>
          <w:szCs w:val="20"/>
          <w:lang w:eastAsia="ru-RU"/>
        </w:rPr>
      </w:pPr>
      <w:r w:rsidRPr="00F360A5">
        <w:rPr>
          <w:rFonts w:ascii="Verdana" w:eastAsia="Times New Roman" w:hAnsi="Verdana" w:cs="Times New Roman"/>
          <w:color w:val="333333"/>
          <w:spacing w:val="2"/>
          <w:sz w:val="20"/>
          <w:szCs w:val="20"/>
          <w:lang w:eastAsia="ru-RU"/>
        </w:rPr>
        <w:t>Не допускается проведение пробы в тех коллективах, где имеется карантин по детским инфекциям - проба Манту ставится через 1 месяц после исчезновения всех клинических симптомов или сразу после снятия карантина.</w:t>
      </w:r>
    </w:p>
    <w:p w:rsidR="00F360A5" w:rsidRPr="00F360A5" w:rsidRDefault="00F360A5" w:rsidP="00F360A5">
      <w:pPr>
        <w:shd w:val="clear" w:color="auto" w:fill="FFFFFF"/>
        <w:spacing w:after="0" w:line="270" w:lineRule="atLeast"/>
        <w:jc w:val="both"/>
        <w:rPr>
          <w:rFonts w:ascii="Verdana" w:eastAsia="Times New Roman" w:hAnsi="Verdana" w:cs="Times New Roman"/>
          <w:color w:val="333333"/>
          <w:spacing w:val="2"/>
          <w:sz w:val="20"/>
          <w:szCs w:val="20"/>
          <w:lang w:eastAsia="ru-RU"/>
        </w:rPr>
      </w:pPr>
      <w:r w:rsidRPr="00F360A5">
        <w:rPr>
          <w:rFonts w:ascii="Verdana" w:eastAsia="Times New Roman" w:hAnsi="Verdana" w:cs="Times New Roman"/>
          <w:color w:val="333333"/>
          <w:spacing w:val="2"/>
          <w:sz w:val="20"/>
          <w:szCs w:val="20"/>
          <w:lang w:eastAsia="ru-RU"/>
        </w:rPr>
        <w:t xml:space="preserve">Ввиду того, что вырабатываемый в результате прививок иммунитет может повлиять на результат пробы Манту, ее постановка не должны проводиться в один день с какими бы то ни было прививками. В противном случае увеличивается риск ложноположительных реакций. В случаях, если по тем или иным причинам пробу Манту производят не до, а после проведения различных профилактических прививок, </w:t>
      </w:r>
      <w:proofErr w:type="spellStart"/>
      <w:r w:rsidRPr="00F360A5">
        <w:rPr>
          <w:rFonts w:ascii="Verdana" w:eastAsia="Times New Roman" w:hAnsi="Verdana" w:cs="Times New Roman"/>
          <w:color w:val="333333"/>
          <w:spacing w:val="2"/>
          <w:sz w:val="20"/>
          <w:szCs w:val="20"/>
          <w:lang w:eastAsia="ru-RU"/>
        </w:rPr>
        <w:t>туберкулинодиагностика</w:t>
      </w:r>
      <w:proofErr w:type="spellEnd"/>
      <w:r w:rsidRPr="00F360A5">
        <w:rPr>
          <w:rFonts w:ascii="Verdana" w:eastAsia="Times New Roman" w:hAnsi="Verdana" w:cs="Times New Roman"/>
          <w:color w:val="333333"/>
          <w:spacing w:val="2"/>
          <w:sz w:val="20"/>
          <w:szCs w:val="20"/>
          <w:lang w:eastAsia="ru-RU"/>
        </w:rPr>
        <w:t xml:space="preserve"> должна осуществляться не ранее чем через 1 месяц после прививки.</w:t>
      </w:r>
    </w:p>
    <w:p w:rsidR="00F360A5" w:rsidRPr="00F360A5" w:rsidRDefault="00F360A5" w:rsidP="00F360A5">
      <w:pPr>
        <w:shd w:val="clear" w:color="auto" w:fill="FFFFFF"/>
        <w:spacing w:after="0" w:line="270" w:lineRule="atLeast"/>
        <w:rPr>
          <w:rFonts w:ascii="Verdana" w:eastAsia="Times New Roman" w:hAnsi="Verdana" w:cs="Times New Roman"/>
          <w:color w:val="333333"/>
          <w:spacing w:val="2"/>
          <w:sz w:val="20"/>
          <w:szCs w:val="20"/>
          <w:lang w:eastAsia="ru-RU"/>
        </w:rPr>
      </w:pPr>
      <w:r w:rsidRPr="00F360A5">
        <w:rPr>
          <w:rFonts w:ascii="Verdana" w:eastAsia="Times New Roman" w:hAnsi="Verdana" w:cs="Times New Roman"/>
          <w:color w:val="333333"/>
          <w:spacing w:val="2"/>
          <w:sz w:val="20"/>
          <w:szCs w:val="20"/>
          <w:lang w:eastAsia="ru-RU"/>
        </w:rPr>
        <w:t> </w:t>
      </w:r>
    </w:p>
    <w:p w:rsidR="00F360A5" w:rsidRPr="00F360A5" w:rsidRDefault="00F360A5" w:rsidP="00F360A5">
      <w:pPr>
        <w:shd w:val="clear" w:color="auto" w:fill="FFFFFF"/>
        <w:spacing w:after="0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7DBE37"/>
          <w:sz w:val="33"/>
          <w:szCs w:val="33"/>
          <w:lang w:eastAsia="ru-RU"/>
        </w:rPr>
      </w:pPr>
      <w:r w:rsidRPr="00F360A5">
        <w:rPr>
          <w:rFonts w:ascii="Verdana" w:eastAsia="Times New Roman" w:hAnsi="Verdana" w:cs="Times New Roman"/>
          <w:b/>
          <w:bCs/>
          <w:color w:val="7DBE37"/>
          <w:sz w:val="33"/>
          <w:szCs w:val="33"/>
          <w:lang w:eastAsia="ru-RU"/>
        </w:rPr>
        <w:t>Оценка результатов</w:t>
      </w:r>
    </w:p>
    <w:p w:rsidR="00F360A5" w:rsidRPr="00F360A5" w:rsidRDefault="00F360A5" w:rsidP="00F360A5">
      <w:pPr>
        <w:shd w:val="clear" w:color="auto" w:fill="FFFFFF"/>
        <w:spacing w:after="0" w:line="270" w:lineRule="atLeast"/>
        <w:jc w:val="both"/>
        <w:rPr>
          <w:rFonts w:ascii="Verdana" w:eastAsia="Times New Roman" w:hAnsi="Verdana" w:cs="Times New Roman"/>
          <w:color w:val="333333"/>
          <w:spacing w:val="2"/>
          <w:sz w:val="20"/>
          <w:szCs w:val="20"/>
          <w:lang w:eastAsia="ru-RU"/>
        </w:rPr>
      </w:pPr>
      <w:r w:rsidRPr="00F360A5">
        <w:rPr>
          <w:rFonts w:ascii="Verdana" w:eastAsia="Times New Roman" w:hAnsi="Verdana" w:cs="Times New Roman"/>
          <w:noProof/>
          <w:color w:val="7DBE37"/>
          <w:sz w:val="33"/>
          <w:szCs w:val="33"/>
          <w:lang w:eastAsia="ru-RU"/>
        </w:rPr>
        <w:drawing>
          <wp:anchor distT="95250" distB="95250" distL="95250" distR="95250" simplePos="0" relativeHeight="251660288" behindDoc="0" locked="0" layoutInCell="1" allowOverlap="0" wp14:anchorId="409D89A5" wp14:editId="76B64D17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57500" cy="1866900"/>
            <wp:effectExtent l="0" t="0" r="0" b="0"/>
            <wp:wrapSquare wrapText="bothSides"/>
            <wp:docPr id="2" name="Рисунок 2" descr="Оценка результа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ценка результато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60A5">
        <w:rPr>
          <w:rFonts w:ascii="Verdana" w:eastAsia="Times New Roman" w:hAnsi="Verdana" w:cs="Times New Roman"/>
          <w:color w:val="333333"/>
          <w:spacing w:val="2"/>
          <w:sz w:val="20"/>
          <w:szCs w:val="20"/>
          <w:lang w:eastAsia="ru-RU"/>
        </w:rPr>
        <w:t xml:space="preserve">После введения туберкулина, на 2-3 день образуется специфическое уплотнение кожи. На вид это возвышающийся над кожей, немного покрасневший округлый участок кожи, от обычного покраснения на ощупь отличающийся незначительным уплотнением. Чем больше в организме </w:t>
      </w:r>
      <w:r w:rsidRPr="00F360A5">
        <w:rPr>
          <w:rFonts w:ascii="Verdana" w:eastAsia="Times New Roman" w:hAnsi="Verdana" w:cs="Times New Roman"/>
          <w:color w:val="333333"/>
          <w:spacing w:val="2"/>
          <w:sz w:val="20"/>
          <w:szCs w:val="20"/>
          <w:lang w:eastAsia="ru-RU"/>
        </w:rPr>
        <w:lastRenderedPageBreak/>
        <w:t>знающих о туберкулезной палочке иммунных клеток, тем больше будет размер уплотнения.</w:t>
      </w:r>
    </w:p>
    <w:p w:rsidR="00F360A5" w:rsidRPr="00F360A5" w:rsidRDefault="00F360A5" w:rsidP="00F360A5">
      <w:pPr>
        <w:shd w:val="clear" w:color="auto" w:fill="FFFFFF"/>
        <w:spacing w:after="0" w:line="270" w:lineRule="atLeast"/>
        <w:jc w:val="both"/>
        <w:rPr>
          <w:rFonts w:ascii="Verdana" w:eastAsia="Times New Roman" w:hAnsi="Verdana" w:cs="Times New Roman"/>
          <w:color w:val="333333"/>
          <w:spacing w:val="2"/>
          <w:sz w:val="20"/>
          <w:szCs w:val="20"/>
          <w:lang w:eastAsia="ru-RU"/>
        </w:rPr>
      </w:pPr>
      <w:r w:rsidRPr="00F360A5">
        <w:rPr>
          <w:rFonts w:ascii="Verdana" w:eastAsia="Times New Roman" w:hAnsi="Verdana" w:cs="Times New Roman"/>
          <w:color w:val="333333"/>
          <w:spacing w:val="2"/>
          <w:sz w:val="20"/>
          <w:szCs w:val="20"/>
          <w:lang w:eastAsia="ru-RU"/>
        </w:rPr>
        <w:t xml:space="preserve">Результат пробы Манту оценивают через 72 часа. Начинают с внешнего осмотра места введения туберкулина. При этом можно установить отсутствие реакции, гиперемию или инфильтрат. Необходимо уметь отличать инфильтрат от гиперемии. Для этого </w:t>
      </w:r>
      <w:proofErr w:type="spellStart"/>
      <w:r w:rsidRPr="00F360A5">
        <w:rPr>
          <w:rFonts w:ascii="Verdana" w:eastAsia="Times New Roman" w:hAnsi="Verdana" w:cs="Times New Roman"/>
          <w:color w:val="333333"/>
          <w:spacing w:val="2"/>
          <w:sz w:val="20"/>
          <w:szCs w:val="20"/>
          <w:lang w:eastAsia="ru-RU"/>
        </w:rPr>
        <w:t>пальпаторно</w:t>
      </w:r>
      <w:proofErr w:type="spellEnd"/>
      <w:r w:rsidRPr="00F360A5">
        <w:rPr>
          <w:rFonts w:ascii="Verdana" w:eastAsia="Times New Roman" w:hAnsi="Verdana" w:cs="Times New Roman"/>
          <w:color w:val="333333"/>
          <w:spacing w:val="2"/>
          <w:sz w:val="20"/>
          <w:szCs w:val="20"/>
          <w:lang w:eastAsia="ru-RU"/>
        </w:rPr>
        <w:t xml:space="preserve"> определяют толщину складки кожи над здоровым участком, затем - на месте введения туберкулина. При инфильтрате кожная складка утолщена по сравнению со здоровым участком, при гиперемии одинаковая. Затем прозрачной бесцветной миллиметровой линейкой измеряют и регистрируют поперечный (по отношению к оси руки) размер инфильтрата. Не допускается применять для измерения термометр и другие «подручные материалы» вроде миллиметровой бумаги и самодельных линеек из рентгеновской пленки. Внимательно проследите, чтобы в отношении вашего ребенка не было допущено халатного отношения, и оценка результатов пробы проводилась специалистом в хорошо освещенном помещении, строго прозрачной линейкой!</w:t>
      </w:r>
    </w:p>
    <w:p w:rsidR="00F360A5" w:rsidRPr="00F360A5" w:rsidRDefault="00F360A5" w:rsidP="00F360A5">
      <w:pPr>
        <w:shd w:val="clear" w:color="auto" w:fill="FFFFFF"/>
        <w:spacing w:after="0" w:line="270" w:lineRule="atLeast"/>
        <w:jc w:val="both"/>
        <w:rPr>
          <w:rFonts w:ascii="Verdana" w:eastAsia="Times New Roman" w:hAnsi="Verdana" w:cs="Times New Roman"/>
          <w:color w:val="333333"/>
          <w:spacing w:val="2"/>
          <w:sz w:val="20"/>
          <w:szCs w:val="20"/>
          <w:lang w:eastAsia="ru-RU"/>
        </w:rPr>
      </w:pPr>
      <w:r w:rsidRPr="00F360A5">
        <w:rPr>
          <w:rFonts w:ascii="Verdana" w:eastAsia="Times New Roman" w:hAnsi="Verdana" w:cs="Times New Roman"/>
          <w:color w:val="333333"/>
          <w:spacing w:val="2"/>
          <w:sz w:val="20"/>
          <w:szCs w:val="20"/>
          <w:lang w:eastAsia="ru-RU"/>
        </w:rPr>
        <w:t>Измеряется только размер уплотнения. Покраснение вокруг уплотнения не является признаком иммунитета к туберкулезу или инфицированности, однако оно регистрируется, когда нет папулы.</w:t>
      </w:r>
    </w:p>
    <w:p w:rsidR="00F360A5" w:rsidRPr="00F360A5" w:rsidRDefault="00F360A5" w:rsidP="00F360A5">
      <w:pPr>
        <w:shd w:val="clear" w:color="auto" w:fill="FFFFFF"/>
        <w:spacing w:after="0" w:line="270" w:lineRule="atLeast"/>
        <w:jc w:val="both"/>
        <w:rPr>
          <w:rFonts w:ascii="Verdana" w:eastAsia="Times New Roman" w:hAnsi="Verdana" w:cs="Times New Roman"/>
          <w:color w:val="333333"/>
          <w:spacing w:val="2"/>
          <w:sz w:val="20"/>
          <w:szCs w:val="20"/>
          <w:lang w:eastAsia="ru-RU"/>
        </w:rPr>
      </w:pPr>
      <w:r w:rsidRPr="00F360A5">
        <w:rPr>
          <w:rFonts w:ascii="Verdana" w:eastAsia="Times New Roman" w:hAnsi="Verdana" w:cs="Times New Roman"/>
          <w:b/>
          <w:bCs/>
          <w:color w:val="333333"/>
          <w:spacing w:val="2"/>
          <w:sz w:val="20"/>
          <w:szCs w:val="20"/>
          <w:lang w:eastAsia="ru-RU"/>
        </w:rPr>
        <w:t>Реакция считается:</w:t>
      </w:r>
    </w:p>
    <w:p w:rsidR="00F360A5" w:rsidRPr="00F360A5" w:rsidRDefault="00F360A5" w:rsidP="00F360A5">
      <w:pPr>
        <w:numPr>
          <w:ilvl w:val="0"/>
          <w:numId w:val="2"/>
        </w:numPr>
        <w:shd w:val="clear" w:color="auto" w:fill="FFFFFF"/>
        <w:spacing w:after="0" w:line="234" w:lineRule="atLeast"/>
        <w:ind w:left="0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F360A5">
        <w:rPr>
          <w:rFonts w:ascii="Verdana" w:eastAsia="Times New Roman" w:hAnsi="Verdana" w:cs="Times New Roman"/>
          <w:i/>
          <w:iCs/>
          <w:color w:val="333333"/>
          <w:sz w:val="18"/>
          <w:szCs w:val="18"/>
          <w:lang w:eastAsia="ru-RU"/>
        </w:rPr>
        <w:t>отрицательной</w:t>
      </w:r>
      <w:r w:rsidRPr="00F360A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 - при полном отсутствии уплотнения или при наличии только </w:t>
      </w:r>
      <w:proofErr w:type="spellStart"/>
      <w:r w:rsidRPr="00F360A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уколочной</w:t>
      </w:r>
      <w:proofErr w:type="spellEnd"/>
      <w:r w:rsidRPr="00F360A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реакции (0-1 мм);</w:t>
      </w:r>
    </w:p>
    <w:p w:rsidR="00F360A5" w:rsidRPr="00F360A5" w:rsidRDefault="00F360A5" w:rsidP="00F360A5">
      <w:pPr>
        <w:numPr>
          <w:ilvl w:val="0"/>
          <w:numId w:val="2"/>
        </w:numPr>
        <w:shd w:val="clear" w:color="auto" w:fill="FFFFFF"/>
        <w:spacing w:after="0" w:line="234" w:lineRule="atLeast"/>
        <w:ind w:left="0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proofErr w:type="gramStart"/>
      <w:r w:rsidRPr="00F360A5">
        <w:rPr>
          <w:rFonts w:ascii="Verdana" w:eastAsia="Times New Roman" w:hAnsi="Verdana" w:cs="Times New Roman"/>
          <w:i/>
          <w:iCs/>
          <w:color w:val="333333"/>
          <w:sz w:val="18"/>
          <w:szCs w:val="18"/>
          <w:lang w:eastAsia="ru-RU"/>
        </w:rPr>
        <w:t>сомнительной</w:t>
      </w:r>
      <w:r w:rsidRPr="00F360A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 - при “пуговке” размером 2-4 мм и при покраснении любого размера без уплотнения;</w:t>
      </w:r>
      <w:proofErr w:type="gramEnd"/>
    </w:p>
    <w:p w:rsidR="00F360A5" w:rsidRPr="00F360A5" w:rsidRDefault="00F360A5" w:rsidP="00F360A5">
      <w:pPr>
        <w:numPr>
          <w:ilvl w:val="0"/>
          <w:numId w:val="2"/>
        </w:numPr>
        <w:shd w:val="clear" w:color="auto" w:fill="FFFFFF"/>
        <w:spacing w:after="0" w:line="234" w:lineRule="atLeast"/>
        <w:ind w:left="0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proofErr w:type="gramStart"/>
      <w:r w:rsidRPr="00F360A5">
        <w:rPr>
          <w:rFonts w:ascii="Verdana" w:eastAsia="Times New Roman" w:hAnsi="Verdana" w:cs="Times New Roman"/>
          <w:i/>
          <w:iCs/>
          <w:color w:val="333333"/>
          <w:sz w:val="18"/>
          <w:szCs w:val="18"/>
          <w:lang w:eastAsia="ru-RU"/>
        </w:rPr>
        <w:t>положительной</w:t>
      </w:r>
      <w:proofErr w:type="gramEnd"/>
      <w:r w:rsidRPr="00F360A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 - при наличии выраженного уплотнения диаметром 5 мм и более. </w:t>
      </w:r>
      <w:proofErr w:type="gramStart"/>
      <w:r w:rsidRPr="00F360A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Слабо положительными</w:t>
      </w:r>
      <w:proofErr w:type="gramEnd"/>
      <w:r w:rsidRPr="00F360A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считаются реакции с размером “пуговки” 5-9 мм в диаметре; средней интенсивности - 10-14 мм; выраженными - 15-16 мм;</w:t>
      </w:r>
    </w:p>
    <w:p w:rsidR="00F360A5" w:rsidRPr="00F360A5" w:rsidRDefault="00F360A5" w:rsidP="00F360A5">
      <w:pPr>
        <w:numPr>
          <w:ilvl w:val="0"/>
          <w:numId w:val="2"/>
        </w:numPr>
        <w:shd w:val="clear" w:color="auto" w:fill="FFFFFF"/>
        <w:spacing w:after="0" w:line="234" w:lineRule="atLeast"/>
        <w:ind w:left="0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F360A5">
        <w:rPr>
          <w:rFonts w:ascii="Verdana" w:eastAsia="Times New Roman" w:hAnsi="Verdana" w:cs="Times New Roman"/>
          <w:i/>
          <w:iCs/>
          <w:color w:val="333333"/>
          <w:sz w:val="18"/>
          <w:szCs w:val="18"/>
          <w:lang w:eastAsia="ru-RU"/>
        </w:rPr>
        <w:t>очень сильно выраженной</w:t>
      </w:r>
      <w:r w:rsidRPr="00F360A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 у детей и подростков считается реакция с диаметром уплотнения 17 мм и более.</w:t>
      </w:r>
    </w:p>
    <w:p w:rsidR="00F360A5" w:rsidRPr="00F360A5" w:rsidRDefault="00F360A5" w:rsidP="00F360A5">
      <w:pPr>
        <w:shd w:val="clear" w:color="auto" w:fill="FFFFFF"/>
        <w:spacing w:after="0" w:line="270" w:lineRule="atLeast"/>
        <w:rPr>
          <w:rFonts w:ascii="Verdana" w:eastAsia="Times New Roman" w:hAnsi="Verdana" w:cs="Times New Roman"/>
          <w:color w:val="333333"/>
          <w:spacing w:val="2"/>
          <w:sz w:val="20"/>
          <w:szCs w:val="20"/>
          <w:lang w:eastAsia="ru-RU"/>
        </w:rPr>
      </w:pPr>
      <w:r w:rsidRPr="00F360A5">
        <w:rPr>
          <w:rFonts w:ascii="Verdana" w:eastAsia="Times New Roman" w:hAnsi="Verdana" w:cs="Times New Roman"/>
          <w:color w:val="333333"/>
          <w:spacing w:val="2"/>
          <w:sz w:val="20"/>
          <w:szCs w:val="20"/>
          <w:lang w:eastAsia="ru-RU"/>
        </w:rPr>
        <w:t> </w:t>
      </w:r>
    </w:p>
    <w:p w:rsidR="00F360A5" w:rsidRPr="00F360A5" w:rsidRDefault="00F360A5" w:rsidP="00F360A5">
      <w:pPr>
        <w:shd w:val="clear" w:color="auto" w:fill="FFFFFF"/>
        <w:spacing w:after="0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7DBE37"/>
          <w:sz w:val="33"/>
          <w:szCs w:val="33"/>
          <w:lang w:eastAsia="ru-RU"/>
        </w:rPr>
      </w:pPr>
      <w:r w:rsidRPr="00F360A5">
        <w:rPr>
          <w:rFonts w:ascii="Verdana" w:eastAsia="Times New Roman" w:hAnsi="Verdana" w:cs="Times New Roman"/>
          <w:b/>
          <w:bCs/>
          <w:color w:val="7DBE37"/>
          <w:sz w:val="33"/>
          <w:szCs w:val="33"/>
          <w:lang w:eastAsia="ru-RU"/>
        </w:rPr>
        <w:t>Когда необходимо обратиться к фтизиатру?</w:t>
      </w:r>
    </w:p>
    <w:p w:rsidR="00F360A5" w:rsidRPr="00F360A5" w:rsidRDefault="00F360A5" w:rsidP="00F360A5">
      <w:pPr>
        <w:shd w:val="clear" w:color="auto" w:fill="FFFFFF"/>
        <w:spacing w:after="0" w:line="270" w:lineRule="atLeast"/>
        <w:jc w:val="both"/>
        <w:rPr>
          <w:rFonts w:ascii="Verdana" w:eastAsia="Times New Roman" w:hAnsi="Verdana" w:cs="Times New Roman"/>
          <w:color w:val="333333"/>
          <w:spacing w:val="2"/>
          <w:sz w:val="20"/>
          <w:szCs w:val="20"/>
          <w:lang w:eastAsia="ru-RU"/>
        </w:rPr>
      </w:pPr>
      <w:r w:rsidRPr="00F360A5">
        <w:rPr>
          <w:rFonts w:ascii="Verdana" w:eastAsia="Times New Roman" w:hAnsi="Verdana" w:cs="Times New Roman"/>
          <w:color w:val="333333"/>
          <w:spacing w:val="2"/>
          <w:sz w:val="20"/>
          <w:szCs w:val="20"/>
          <w:lang w:eastAsia="ru-RU"/>
        </w:rPr>
        <w:t>Сама по себе положительная реакция Манту не является 100-процентным доказательством наличия туберкулеза. Однако есть моменты, которые свидетельствуют об опасности:</w:t>
      </w:r>
    </w:p>
    <w:p w:rsidR="00F360A5" w:rsidRPr="00F360A5" w:rsidRDefault="00F360A5" w:rsidP="00F360A5">
      <w:pPr>
        <w:numPr>
          <w:ilvl w:val="0"/>
          <w:numId w:val="3"/>
        </w:numPr>
        <w:shd w:val="clear" w:color="auto" w:fill="FFFFFF"/>
        <w:spacing w:after="0" w:line="234" w:lineRule="atLeast"/>
        <w:ind w:left="0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F360A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чувствительность к туберкулину из года в год увеличивается по </w:t>
      </w:r>
      <w:proofErr w:type="gramStart"/>
      <w:r w:rsidRPr="00F360A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нарастающей</w:t>
      </w:r>
      <w:proofErr w:type="gramEnd"/>
      <w:r w:rsidRPr="00F360A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;</w:t>
      </w:r>
    </w:p>
    <w:p w:rsidR="00F360A5" w:rsidRPr="00F360A5" w:rsidRDefault="00F360A5" w:rsidP="00F360A5">
      <w:pPr>
        <w:numPr>
          <w:ilvl w:val="0"/>
          <w:numId w:val="3"/>
        </w:numPr>
        <w:shd w:val="clear" w:color="auto" w:fill="FFFFFF"/>
        <w:spacing w:after="0" w:line="234" w:lineRule="atLeast"/>
        <w:ind w:left="0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F360A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резкий “скачок”, при котором уплотнение увеличивается на 6 мм и более (например, в прошлом году “пуговка” была размером 10 мм, а в этом - 16);</w:t>
      </w:r>
    </w:p>
    <w:p w:rsidR="00F360A5" w:rsidRPr="00F360A5" w:rsidRDefault="00F360A5" w:rsidP="00F360A5">
      <w:pPr>
        <w:numPr>
          <w:ilvl w:val="0"/>
          <w:numId w:val="3"/>
        </w:numPr>
        <w:shd w:val="clear" w:color="auto" w:fill="FFFFFF"/>
        <w:spacing w:after="0" w:line="234" w:lineRule="atLeast"/>
        <w:ind w:left="0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F360A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недавнее пребывание в регионе с повышенной циркуляцией туберкулеза;</w:t>
      </w:r>
    </w:p>
    <w:p w:rsidR="00F360A5" w:rsidRPr="00F360A5" w:rsidRDefault="00F360A5" w:rsidP="00F360A5">
      <w:pPr>
        <w:numPr>
          <w:ilvl w:val="0"/>
          <w:numId w:val="3"/>
        </w:numPr>
        <w:shd w:val="clear" w:color="auto" w:fill="FFFFFF"/>
        <w:spacing w:after="0" w:line="234" w:lineRule="atLeast"/>
        <w:ind w:left="0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F360A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даже временный контакт с больным открытой формой туберкулеза;</w:t>
      </w:r>
    </w:p>
    <w:p w:rsidR="00F360A5" w:rsidRPr="00F360A5" w:rsidRDefault="00F360A5" w:rsidP="00F360A5">
      <w:pPr>
        <w:numPr>
          <w:ilvl w:val="0"/>
          <w:numId w:val="3"/>
        </w:numPr>
        <w:shd w:val="clear" w:color="auto" w:fill="FFFFFF"/>
        <w:spacing w:after="0" w:line="234" w:lineRule="atLeast"/>
        <w:ind w:left="0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F360A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наличие в семье родственников, болевших или инфицированных туберкулезом.</w:t>
      </w:r>
    </w:p>
    <w:p w:rsidR="00F360A5" w:rsidRPr="00F360A5" w:rsidRDefault="00F360A5" w:rsidP="00F360A5">
      <w:pPr>
        <w:shd w:val="clear" w:color="auto" w:fill="FFFFFF"/>
        <w:spacing w:after="0" w:line="270" w:lineRule="atLeast"/>
        <w:jc w:val="both"/>
        <w:rPr>
          <w:rFonts w:ascii="Verdana" w:eastAsia="Times New Roman" w:hAnsi="Verdana" w:cs="Times New Roman"/>
          <w:color w:val="333333"/>
          <w:spacing w:val="2"/>
          <w:sz w:val="20"/>
          <w:szCs w:val="20"/>
          <w:lang w:eastAsia="ru-RU"/>
        </w:rPr>
      </w:pPr>
      <w:r w:rsidRPr="00F360A5">
        <w:rPr>
          <w:rFonts w:ascii="Verdana" w:eastAsia="Times New Roman" w:hAnsi="Verdana" w:cs="Times New Roman"/>
          <w:color w:val="333333"/>
          <w:spacing w:val="2"/>
          <w:sz w:val="20"/>
          <w:szCs w:val="20"/>
          <w:lang w:eastAsia="ru-RU"/>
        </w:rPr>
        <w:t>В таких случаях ребенка направляют на консультацию к детскому фтизиатру.</w:t>
      </w:r>
    </w:p>
    <w:p w:rsidR="00F360A5" w:rsidRPr="00F360A5" w:rsidRDefault="00F360A5" w:rsidP="00F360A5">
      <w:pPr>
        <w:shd w:val="clear" w:color="auto" w:fill="FFFFFF"/>
        <w:spacing w:after="0" w:line="270" w:lineRule="atLeast"/>
        <w:jc w:val="both"/>
        <w:rPr>
          <w:rFonts w:ascii="Verdana" w:eastAsia="Times New Roman" w:hAnsi="Verdana" w:cs="Times New Roman"/>
          <w:color w:val="333333"/>
          <w:spacing w:val="2"/>
          <w:sz w:val="20"/>
          <w:szCs w:val="20"/>
          <w:lang w:eastAsia="ru-RU"/>
        </w:rPr>
      </w:pPr>
      <w:r w:rsidRPr="00F360A5">
        <w:rPr>
          <w:rFonts w:ascii="Verdana" w:eastAsia="Times New Roman" w:hAnsi="Verdana" w:cs="Times New Roman"/>
          <w:color w:val="333333"/>
          <w:spacing w:val="2"/>
          <w:sz w:val="20"/>
          <w:szCs w:val="20"/>
          <w:lang w:eastAsia="ru-RU"/>
        </w:rPr>
        <w:t xml:space="preserve">Реакция считается отрицательной при полном отсутствии инфильтрата (гиперемии) или при наличии </w:t>
      </w:r>
      <w:proofErr w:type="spellStart"/>
      <w:r w:rsidRPr="00F360A5">
        <w:rPr>
          <w:rFonts w:ascii="Verdana" w:eastAsia="Times New Roman" w:hAnsi="Verdana" w:cs="Times New Roman"/>
          <w:color w:val="333333"/>
          <w:spacing w:val="2"/>
          <w:sz w:val="20"/>
          <w:szCs w:val="20"/>
          <w:lang w:eastAsia="ru-RU"/>
        </w:rPr>
        <w:t>уколочной</w:t>
      </w:r>
      <w:proofErr w:type="spellEnd"/>
      <w:r w:rsidRPr="00F360A5">
        <w:rPr>
          <w:rFonts w:ascii="Verdana" w:eastAsia="Times New Roman" w:hAnsi="Verdana" w:cs="Times New Roman"/>
          <w:color w:val="333333"/>
          <w:spacing w:val="2"/>
          <w:sz w:val="20"/>
          <w:szCs w:val="20"/>
          <w:lang w:eastAsia="ru-RU"/>
        </w:rPr>
        <w:t xml:space="preserve"> реакции (0-1 мм); сомнительной - при инфильтрате (папула) размером 2-4 мм при только гиперемии любого размера без инфильтрата; положительной - при наличии выраженного инфильтрата (папула) диаметром 5 мм и более. </w:t>
      </w:r>
      <w:proofErr w:type="gramStart"/>
      <w:r w:rsidRPr="00F360A5">
        <w:rPr>
          <w:rFonts w:ascii="Verdana" w:eastAsia="Times New Roman" w:hAnsi="Verdana" w:cs="Times New Roman"/>
          <w:color w:val="333333"/>
          <w:spacing w:val="2"/>
          <w:sz w:val="20"/>
          <w:szCs w:val="20"/>
          <w:lang w:eastAsia="ru-RU"/>
        </w:rPr>
        <w:t>Слабо положительными</w:t>
      </w:r>
      <w:proofErr w:type="gramEnd"/>
      <w:r w:rsidRPr="00F360A5">
        <w:rPr>
          <w:rFonts w:ascii="Verdana" w:eastAsia="Times New Roman" w:hAnsi="Verdana" w:cs="Times New Roman"/>
          <w:color w:val="333333"/>
          <w:spacing w:val="2"/>
          <w:sz w:val="20"/>
          <w:szCs w:val="20"/>
          <w:lang w:eastAsia="ru-RU"/>
        </w:rPr>
        <w:t xml:space="preserve"> считаются реакции с размером инфильтрата 5-9 мм в диаметре; средней интенсивности - 10-14 мм; выраженными - 15-16 мм. </w:t>
      </w:r>
      <w:proofErr w:type="spellStart"/>
      <w:r w:rsidRPr="00F360A5">
        <w:rPr>
          <w:rFonts w:ascii="Verdana" w:eastAsia="Times New Roman" w:hAnsi="Verdana" w:cs="Times New Roman"/>
          <w:color w:val="333333"/>
          <w:spacing w:val="2"/>
          <w:sz w:val="20"/>
          <w:szCs w:val="20"/>
          <w:lang w:eastAsia="ru-RU"/>
        </w:rPr>
        <w:t>Гиперергическими</w:t>
      </w:r>
      <w:proofErr w:type="spellEnd"/>
      <w:r w:rsidRPr="00F360A5">
        <w:rPr>
          <w:rFonts w:ascii="Verdana" w:eastAsia="Times New Roman" w:hAnsi="Verdana" w:cs="Times New Roman"/>
          <w:color w:val="333333"/>
          <w:spacing w:val="2"/>
          <w:sz w:val="20"/>
          <w:szCs w:val="20"/>
          <w:lang w:eastAsia="ru-RU"/>
        </w:rPr>
        <w:t xml:space="preserve"> у детей и подростков считаются реакции с диаметром инфильтрата 17 мм и более, у взрослых - 21 мм и более, а также </w:t>
      </w:r>
      <w:proofErr w:type="spellStart"/>
      <w:r w:rsidRPr="00F360A5">
        <w:rPr>
          <w:rFonts w:ascii="Verdana" w:eastAsia="Times New Roman" w:hAnsi="Verdana" w:cs="Times New Roman"/>
          <w:color w:val="333333"/>
          <w:spacing w:val="2"/>
          <w:sz w:val="20"/>
          <w:szCs w:val="20"/>
          <w:lang w:eastAsia="ru-RU"/>
        </w:rPr>
        <w:t>везикулонекротические</w:t>
      </w:r>
      <w:proofErr w:type="spellEnd"/>
      <w:r w:rsidRPr="00F360A5">
        <w:rPr>
          <w:rFonts w:ascii="Verdana" w:eastAsia="Times New Roman" w:hAnsi="Verdana" w:cs="Times New Roman"/>
          <w:color w:val="333333"/>
          <w:spacing w:val="2"/>
          <w:sz w:val="20"/>
          <w:szCs w:val="20"/>
          <w:lang w:eastAsia="ru-RU"/>
        </w:rPr>
        <w:t xml:space="preserve"> реакции, независимо от размера инфильтрата, лимфангоит, дочерние отсевы, регионарный лимфаденит.</w:t>
      </w:r>
    </w:p>
    <w:p w:rsidR="00F360A5" w:rsidRPr="00F360A5" w:rsidRDefault="00F360A5" w:rsidP="00F360A5">
      <w:pPr>
        <w:shd w:val="clear" w:color="auto" w:fill="FFFFFF"/>
        <w:spacing w:after="0" w:line="270" w:lineRule="atLeast"/>
        <w:rPr>
          <w:rFonts w:ascii="Verdana" w:eastAsia="Times New Roman" w:hAnsi="Verdana" w:cs="Times New Roman"/>
          <w:color w:val="333333"/>
          <w:spacing w:val="2"/>
          <w:sz w:val="20"/>
          <w:szCs w:val="20"/>
          <w:lang w:eastAsia="ru-RU"/>
        </w:rPr>
      </w:pPr>
      <w:r w:rsidRPr="00F360A5">
        <w:rPr>
          <w:rFonts w:ascii="Verdana" w:eastAsia="Times New Roman" w:hAnsi="Verdana" w:cs="Times New Roman"/>
          <w:color w:val="333333"/>
          <w:spacing w:val="2"/>
          <w:sz w:val="20"/>
          <w:szCs w:val="20"/>
          <w:lang w:eastAsia="ru-RU"/>
        </w:rPr>
        <w:t> </w:t>
      </w:r>
    </w:p>
    <w:p w:rsidR="00F360A5" w:rsidRDefault="00F360A5" w:rsidP="00F360A5">
      <w:pPr>
        <w:shd w:val="clear" w:color="auto" w:fill="FFFFFF"/>
        <w:spacing w:after="0" w:line="240" w:lineRule="auto"/>
        <w:outlineLvl w:val="1"/>
        <w:rPr>
          <w:rFonts w:ascii="Verdana" w:eastAsia="Times New Roman" w:hAnsi="Verdana" w:cs="Times New Roman"/>
          <w:b/>
          <w:bCs/>
          <w:color w:val="7DBE37"/>
          <w:sz w:val="33"/>
          <w:szCs w:val="33"/>
          <w:lang w:eastAsia="ru-RU"/>
        </w:rPr>
      </w:pPr>
    </w:p>
    <w:p w:rsidR="00F360A5" w:rsidRDefault="00F360A5" w:rsidP="00F360A5">
      <w:pPr>
        <w:shd w:val="clear" w:color="auto" w:fill="FFFFFF"/>
        <w:spacing w:after="0" w:line="240" w:lineRule="auto"/>
        <w:outlineLvl w:val="1"/>
        <w:rPr>
          <w:rFonts w:ascii="Verdana" w:eastAsia="Times New Roman" w:hAnsi="Verdana" w:cs="Times New Roman"/>
          <w:b/>
          <w:bCs/>
          <w:color w:val="7DBE37"/>
          <w:sz w:val="33"/>
          <w:szCs w:val="33"/>
          <w:lang w:eastAsia="ru-RU"/>
        </w:rPr>
      </w:pPr>
    </w:p>
    <w:p w:rsidR="00F360A5" w:rsidRDefault="00F360A5" w:rsidP="00F360A5">
      <w:pPr>
        <w:shd w:val="clear" w:color="auto" w:fill="FFFFFF"/>
        <w:spacing w:after="0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7DBE37"/>
          <w:sz w:val="33"/>
          <w:szCs w:val="33"/>
          <w:lang w:eastAsia="ru-RU"/>
        </w:rPr>
      </w:pPr>
      <w:r w:rsidRPr="00F360A5">
        <w:rPr>
          <w:rFonts w:ascii="Verdana" w:eastAsia="Times New Roman" w:hAnsi="Verdana" w:cs="Times New Roman"/>
          <w:b/>
          <w:bCs/>
          <w:color w:val="7DBE37"/>
          <w:sz w:val="33"/>
          <w:szCs w:val="33"/>
          <w:lang w:eastAsia="ru-RU"/>
        </w:rPr>
        <w:lastRenderedPageBreak/>
        <w:t xml:space="preserve">Если у вашего ребенка </w:t>
      </w:r>
      <w:proofErr w:type="gramStart"/>
      <w:r w:rsidRPr="00F360A5">
        <w:rPr>
          <w:rFonts w:ascii="Verdana" w:eastAsia="Times New Roman" w:hAnsi="Verdana" w:cs="Times New Roman"/>
          <w:b/>
          <w:bCs/>
          <w:color w:val="7DBE37"/>
          <w:sz w:val="33"/>
          <w:szCs w:val="33"/>
          <w:lang w:eastAsia="ru-RU"/>
        </w:rPr>
        <w:t>положительная</w:t>
      </w:r>
      <w:proofErr w:type="gramEnd"/>
      <w:r w:rsidRPr="00F360A5">
        <w:rPr>
          <w:rFonts w:ascii="Verdana" w:eastAsia="Times New Roman" w:hAnsi="Verdana" w:cs="Times New Roman"/>
          <w:b/>
          <w:bCs/>
          <w:color w:val="7DBE37"/>
          <w:sz w:val="33"/>
          <w:szCs w:val="33"/>
          <w:lang w:eastAsia="ru-RU"/>
        </w:rPr>
        <w:t xml:space="preserve"> </w:t>
      </w:r>
    </w:p>
    <w:p w:rsidR="00F360A5" w:rsidRPr="00F360A5" w:rsidRDefault="00F360A5" w:rsidP="00F360A5">
      <w:pPr>
        <w:shd w:val="clear" w:color="auto" w:fill="FFFFFF"/>
        <w:spacing w:after="0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7DBE37"/>
          <w:sz w:val="33"/>
          <w:szCs w:val="33"/>
          <w:lang w:eastAsia="ru-RU"/>
        </w:rPr>
      </w:pPr>
      <w:r w:rsidRPr="00F360A5">
        <w:rPr>
          <w:rFonts w:ascii="Verdana" w:eastAsia="Times New Roman" w:hAnsi="Verdana" w:cs="Times New Roman"/>
          <w:b/>
          <w:bCs/>
          <w:color w:val="7DBE37"/>
          <w:sz w:val="33"/>
          <w:szCs w:val="33"/>
          <w:lang w:eastAsia="ru-RU"/>
        </w:rPr>
        <w:t>проба Манту</w:t>
      </w:r>
    </w:p>
    <w:p w:rsidR="00F360A5" w:rsidRPr="00F360A5" w:rsidRDefault="00F360A5" w:rsidP="00F360A5">
      <w:pPr>
        <w:shd w:val="clear" w:color="auto" w:fill="FFFFFF"/>
        <w:spacing w:after="0" w:line="270" w:lineRule="atLeast"/>
        <w:jc w:val="both"/>
        <w:rPr>
          <w:rFonts w:ascii="Verdana" w:eastAsia="Times New Roman" w:hAnsi="Verdana" w:cs="Times New Roman"/>
          <w:color w:val="333333"/>
          <w:spacing w:val="2"/>
          <w:sz w:val="20"/>
          <w:szCs w:val="20"/>
          <w:lang w:eastAsia="ru-RU"/>
        </w:rPr>
      </w:pPr>
      <w:r w:rsidRPr="00F360A5">
        <w:rPr>
          <w:rFonts w:ascii="Verdana" w:eastAsia="Times New Roman" w:hAnsi="Verdana" w:cs="Times New Roman"/>
          <w:color w:val="333333"/>
          <w:spacing w:val="2"/>
          <w:sz w:val="20"/>
          <w:szCs w:val="20"/>
          <w:lang w:eastAsia="ru-RU"/>
        </w:rPr>
        <w:t xml:space="preserve">В условиях обязательной вакцинации и ревакцинации БЦЖ положительные реакции на пробу Манту могут быть следствием как инфекционной, так и </w:t>
      </w:r>
      <w:proofErr w:type="spellStart"/>
      <w:r w:rsidRPr="00F360A5">
        <w:rPr>
          <w:rFonts w:ascii="Verdana" w:eastAsia="Times New Roman" w:hAnsi="Verdana" w:cs="Times New Roman"/>
          <w:color w:val="333333"/>
          <w:spacing w:val="2"/>
          <w:sz w:val="20"/>
          <w:szCs w:val="20"/>
          <w:lang w:eastAsia="ru-RU"/>
        </w:rPr>
        <w:t>послевакцинальной</w:t>
      </w:r>
      <w:proofErr w:type="spellEnd"/>
      <w:r w:rsidRPr="00F360A5">
        <w:rPr>
          <w:rFonts w:ascii="Verdana" w:eastAsia="Times New Roman" w:hAnsi="Verdana" w:cs="Times New Roman"/>
          <w:color w:val="333333"/>
          <w:spacing w:val="2"/>
          <w:sz w:val="20"/>
          <w:szCs w:val="20"/>
          <w:lang w:eastAsia="ru-RU"/>
        </w:rPr>
        <w:t xml:space="preserve"> аллергии. Поэтому прежде чем приступить к решению вопроса о характере аллергии, необходимо установить наличие и размер кожного рубца на месте введения вакцины БЦЖ; сроки, прошедшие с момента вакцинации (ревакцинации) и сопоставить их с размером инфильтрата и предыдущими результатами туберкулиновых проб.</w:t>
      </w:r>
    </w:p>
    <w:p w:rsidR="00F360A5" w:rsidRPr="00F360A5" w:rsidRDefault="00F360A5" w:rsidP="00F360A5">
      <w:pPr>
        <w:shd w:val="clear" w:color="auto" w:fill="FFFFFF"/>
        <w:spacing w:after="0" w:line="270" w:lineRule="atLeast"/>
        <w:jc w:val="both"/>
        <w:rPr>
          <w:rFonts w:ascii="Verdana" w:eastAsia="Times New Roman" w:hAnsi="Verdana" w:cs="Times New Roman"/>
          <w:color w:val="333333"/>
          <w:spacing w:val="2"/>
          <w:sz w:val="20"/>
          <w:szCs w:val="20"/>
          <w:lang w:eastAsia="ru-RU"/>
        </w:rPr>
      </w:pPr>
      <w:r w:rsidRPr="00F360A5">
        <w:rPr>
          <w:rFonts w:ascii="Verdana" w:eastAsia="Times New Roman" w:hAnsi="Verdana" w:cs="Times New Roman"/>
          <w:color w:val="333333"/>
          <w:spacing w:val="2"/>
          <w:sz w:val="20"/>
          <w:szCs w:val="20"/>
          <w:lang w:eastAsia="ru-RU"/>
        </w:rPr>
        <w:t xml:space="preserve">Положительная реакция на туберкулин у двух - трехлетнего ребенка может быть проявлением поствакцинальной аллергии. В зависимости от индивидуальной реактивности организма реакция на пробу Манту через 1-1,5 года после вакцинации БЦЖ может быть отрицательной, сомнительной и у 60 процентов детей положительной. Положительные реакции как проявления </w:t>
      </w:r>
      <w:proofErr w:type="spellStart"/>
      <w:r w:rsidRPr="00F360A5">
        <w:rPr>
          <w:rFonts w:ascii="Verdana" w:eastAsia="Times New Roman" w:hAnsi="Verdana" w:cs="Times New Roman"/>
          <w:color w:val="333333"/>
          <w:spacing w:val="2"/>
          <w:sz w:val="20"/>
          <w:szCs w:val="20"/>
          <w:lang w:eastAsia="ru-RU"/>
        </w:rPr>
        <w:t>послевакцинальной</w:t>
      </w:r>
      <w:proofErr w:type="spellEnd"/>
      <w:r w:rsidRPr="00F360A5">
        <w:rPr>
          <w:rFonts w:ascii="Verdana" w:eastAsia="Times New Roman" w:hAnsi="Verdana" w:cs="Times New Roman"/>
          <w:color w:val="333333"/>
          <w:spacing w:val="2"/>
          <w:sz w:val="20"/>
          <w:szCs w:val="20"/>
          <w:lang w:eastAsia="ru-RU"/>
        </w:rPr>
        <w:t xml:space="preserve"> аллергии развиваются через 6-8 недель после вакцинации и достигают наибольшей интенсивности к 1-2 годам. Это обусловлено тем, что к этому периоду </w:t>
      </w:r>
      <w:proofErr w:type="spellStart"/>
      <w:r w:rsidRPr="00F360A5">
        <w:rPr>
          <w:rFonts w:ascii="Verdana" w:eastAsia="Times New Roman" w:hAnsi="Verdana" w:cs="Times New Roman"/>
          <w:color w:val="333333"/>
          <w:spacing w:val="2"/>
          <w:sz w:val="20"/>
          <w:szCs w:val="20"/>
          <w:lang w:eastAsia="ru-RU"/>
        </w:rPr>
        <w:t>послевакцинальный</w:t>
      </w:r>
      <w:proofErr w:type="spellEnd"/>
      <w:r w:rsidRPr="00F360A5">
        <w:rPr>
          <w:rFonts w:ascii="Verdana" w:eastAsia="Times New Roman" w:hAnsi="Verdana" w:cs="Times New Roman"/>
          <w:color w:val="333333"/>
          <w:spacing w:val="2"/>
          <w:sz w:val="20"/>
          <w:szCs w:val="20"/>
          <w:lang w:eastAsia="ru-RU"/>
        </w:rPr>
        <w:t xml:space="preserve"> иммунитет достигает максимальной выраженности. Поэтому в первые два года жизни после вакцинации БЦЖ положительные реакции на пробу Манту могут быть диаметром от 5 до 16 мм. При рубце 2-4 мм длительность </w:t>
      </w:r>
      <w:proofErr w:type="spellStart"/>
      <w:r w:rsidRPr="00F360A5">
        <w:rPr>
          <w:rFonts w:ascii="Verdana" w:eastAsia="Times New Roman" w:hAnsi="Verdana" w:cs="Times New Roman"/>
          <w:color w:val="333333"/>
          <w:spacing w:val="2"/>
          <w:sz w:val="20"/>
          <w:szCs w:val="20"/>
          <w:lang w:eastAsia="ru-RU"/>
        </w:rPr>
        <w:t>поствакционального</w:t>
      </w:r>
      <w:proofErr w:type="spellEnd"/>
      <w:r w:rsidRPr="00F360A5">
        <w:rPr>
          <w:rFonts w:ascii="Verdana" w:eastAsia="Times New Roman" w:hAnsi="Verdana" w:cs="Times New Roman"/>
          <w:color w:val="333333"/>
          <w:spacing w:val="2"/>
          <w:sz w:val="20"/>
          <w:szCs w:val="20"/>
          <w:lang w:eastAsia="ru-RU"/>
        </w:rPr>
        <w:t xml:space="preserve"> иммунитета составляет 3-4 года. Таким детям Манту рекомендуется ставить на фоне приема десенсибилизирующих сре</w:t>
      </w:r>
      <w:proofErr w:type="gramStart"/>
      <w:r w:rsidRPr="00F360A5">
        <w:rPr>
          <w:rFonts w:ascii="Verdana" w:eastAsia="Times New Roman" w:hAnsi="Verdana" w:cs="Times New Roman"/>
          <w:color w:val="333333"/>
          <w:spacing w:val="2"/>
          <w:sz w:val="20"/>
          <w:szCs w:val="20"/>
          <w:lang w:eastAsia="ru-RU"/>
        </w:rPr>
        <w:t>дств в т</w:t>
      </w:r>
      <w:proofErr w:type="gramEnd"/>
      <w:r w:rsidRPr="00F360A5">
        <w:rPr>
          <w:rFonts w:ascii="Verdana" w:eastAsia="Times New Roman" w:hAnsi="Verdana" w:cs="Times New Roman"/>
          <w:color w:val="333333"/>
          <w:spacing w:val="2"/>
          <w:sz w:val="20"/>
          <w:szCs w:val="20"/>
          <w:lang w:eastAsia="ru-RU"/>
        </w:rPr>
        <w:t>ечение 7 дней (5 дней до постановки и 2 дня после нее).</w:t>
      </w:r>
    </w:p>
    <w:p w:rsidR="00F360A5" w:rsidRPr="00F360A5" w:rsidRDefault="00F360A5" w:rsidP="00F360A5">
      <w:pPr>
        <w:shd w:val="clear" w:color="auto" w:fill="FFFFFF"/>
        <w:spacing w:after="0" w:line="270" w:lineRule="atLeast"/>
        <w:jc w:val="both"/>
        <w:rPr>
          <w:rFonts w:ascii="Verdana" w:eastAsia="Times New Roman" w:hAnsi="Verdana" w:cs="Times New Roman"/>
          <w:color w:val="333333"/>
          <w:spacing w:val="2"/>
          <w:sz w:val="20"/>
          <w:szCs w:val="20"/>
          <w:lang w:eastAsia="ru-RU"/>
        </w:rPr>
      </w:pPr>
      <w:r w:rsidRPr="00F360A5">
        <w:rPr>
          <w:rFonts w:ascii="Verdana" w:eastAsia="Times New Roman" w:hAnsi="Verdana" w:cs="Times New Roman"/>
          <w:color w:val="333333"/>
          <w:spacing w:val="2"/>
          <w:sz w:val="20"/>
          <w:szCs w:val="20"/>
          <w:lang w:eastAsia="ru-RU"/>
        </w:rPr>
        <w:t>Если проба Манту показала положительный результат, то педиатр направит вас на консультацию фтизиатра. Необходимо исключить все влияющие факторы: вакцинация БЦЖ и другими вакцинами, недавняя инфекция, аллергия к компонентам туберкулина, аллергия неясной этиологии.</w:t>
      </w:r>
    </w:p>
    <w:p w:rsidR="00F360A5" w:rsidRPr="00F360A5" w:rsidRDefault="00F360A5" w:rsidP="00F360A5">
      <w:pPr>
        <w:shd w:val="clear" w:color="auto" w:fill="FFFFFF"/>
        <w:spacing w:after="0" w:line="270" w:lineRule="atLeast"/>
        <w:jc w:val="both"/>
        <w:rPr>
          <w:rFonts w:ascii="Verdana" w:eastAsia="Times New Roman" w:hAnsi="Verdana" w:cs="Times New Roman"/>
          <w:color w:val="333333"/>
          <w:spacing w:val="2"/>
          <w:sz w:val="20"/>
          <w:szCs w:val="20"/>
          <w:lang w:eastAsia="ru-RU"/>
        </w:rPr>
      </w:pPr>
      <w:r w:rsidRPr="00F360A5">
        <w:rPr>
          <w:rFonts w:ascii="Verdana" w:eastAsia="Times New Roman" w:hAnsi="Verdana" w:cs="Times New Roman"/>
          <w:color w:val="333333"/>
          <w:spacing w:val="2"/>
          <w:sz w:val="20"/>
          <w:szCs w:val="20"/>
          <w:lang w:eastAsia="ru-RU"/>
        </w:rPr>
        <w:t xml:space="preserve">Заключение "аллергия неясной этиологии" делается в том случае, когда невозможно решить вопрос о характере аллергии (инфекционная или </w:t>
      </w:r>
      <w:proofErr w:type="spellStart"/>
      <w:r w:rsidRPr="00F360A5">
        <w:rPr>
          <w:rFonts w:ascii="Verdana" w:eastAsia="Times New Roman" w:hAnsi="Verdana" w:cs="Times New Roman"/>
          <w:color w:val="333333"/>
          <w:spacing w:val="2"/>
          <w:sz w:val="20"/>
          <w:szCs w:val="20"/>
          <w:lang w:eastAsia="ru-RU"/>
        </w:rPr>
        <w:t>послевакцинальная</w:t>
      </w:r>
      <w:proofErr w:type="spellEnd"/>
      <w:r w:rsidRPr="00F360A5">
        <w:rPr>
          <w:rFonts w:ascii="Verdana" w:eastAsia="Times New Roman" w:hAnsi="Verdana" w:cs="Times New Roman"/>
          <w:color w:val="333333"/>
          <w:spacing w:val="2"/>
          <w:sz w:val="20"/>
          <w:szCs w:val="20"/>
          <w:lang w:eastAsia="ru-RU"/>
        </w:rPr>
        <w:t xml:space="preserve">). Для уточнения этиологии аллергии дети направляются в ПТД, где после проведенного обследования их ставят на учет по "О" группе диспансерного наблюдения. Через 6 месяцев пробу Манту повторяют. Если размер реакции остается прежним или увеличивается, аллергия считается инфекционной. Снижение чувствительности к туберкулину свидетельствует о </w:t>
      </w:r>
      <w:proofErr w:type="spellStart"/>
      <w:r w:rsidRPr="00F360A5">
        <w:rPr>
          <w:rFonts w:ascii="Verdana" w:eastAsia="Times New Roman" w:hAnsi="Verdana" w:cs="Times New Roman"/>
          <w:color w:val="333333"/>
          <w:spacing w:val="2"/>
          <w:sz w:val="20"/>
          <w:szCs w:val="20"/>
          <w:lang w:eastAsia="ru-RU"/>
        </w:rPr>
        <w:t>послевакцинальной</w:t>
      </w:r>
      <w:proofErr w:type="spellEnd"/>
      <w:r w:rsidRPr="00F360A5">
        <w:rPr>
          <w:rFonts w:ascii="Verdana" w:eastAsia="Times New Roman" w:hAnsi="Verdana" w:cs="Times New Roman"/>
          <w:color w:val="333333"/>
          <w:spacing w:val="2"/>
          <w:sz w:val="20"/>
          <w:szCs w:val="20"/>
          <w:lang w:eastAsia="ru-RU"/>
        </w:rPr>
        <w:t xml:space="preserve"> аллергии.</w:t>
      </w:r>
    </w:p>
    <w:p w:rsidR="00F360A5" w:rsidRPr="00F360A5" w:rsidRDefault="00F360A5" w:rsidP="00F360A5">
      <w:pPr>
        <w:shd w:val="clear" w:color="auto" w:fill="FFFFFF"/>
        <w:spacing w:after="0" w:line="270" w:lineRule="atLeast"/>
        <w:jc w:val="both"/>
        <w:rPr>
          <w:rFonts w:ascii="Verdana" w:eastAsia="Times New Roman" w:hAnsi="Verdana" w:cs="Times New Roman"/>
          <w:color w:val="333333"/>
          <w:spacing w:val="2"/>
          <w:sz w:val="20"/>
          <w:szCs w:val="20"/>
          <w:lang w:eastAsia="ru-RU"/>
        </w:rPr>
      </w:pPr>
      <w:r w:rsidRPr="00F360A5">
        <w:rPr>
          <w:rFonts w:ascii="Verdana" w:eastAsia="Times New Roman" w:hAnsi="Verdana" w:cs="Times New Roman"/>
          <w:color w:val="333333"/>
          <w:spacing w:val="2"/>
          <w:sz w:val="20"/>
          <w:szCs w:val="20"/>
          <w:lang w:eastAsia="ru-RU"/>
        </w:rPr>
        <w:t xml:space="preserve">Важным признаком, позволяющим провести различие между поствакцинальным иммунитетом и инфицированием, как причинами положительной реакции, является наличие пигментации (коричневатое окрашивание места, где была папула) спустя 1-2 недели после постановки пробы Манту. </w:t>
      </w:r>
      <w:proofErr w:type="gramStart"/>
      <w:r w:rsidRPr="00F360A5">
        <w:rPr>
          <w:rFonts w:ascii="Verdana" w:eastAsia="Times New Roman" w:hAnsi="Verdana" w:cs="Times New Roman"/>
          <w:color w:val="333333"/>
          <w:spacing w:val="2"/>
          <w:sz w:val="20"/>
          <w:szCs w:val="20"/>
          <w:lang w:eastAsia="ru-RU"/>
        </w:rPr>
        <w:t>Папула, появляющаяся после вакцинации обычно не имеет</w:t>
      </w:r>
      <w:proofErr w:type="gramEnd"/>
      <w:r w:rsidRPr="00F360A5">
        <w:rPr>
          <w:rFonts w:ascii="Verdana" w:eastAsia="Times New Roman" w:hAnsi="Verdana" w:cs="Times New Roman"/>
          <w:color w:val="333333"/>
          <w:spacing w:val="2"/>
          <w:sz w:val="20"/>
          <w:szCs w:val="20"/>
          <w:lang w:eastAsia="ru-RU"/>
        </w:rPr>
        <w:t xml:space="preserve"> четких контуров, бледно-розовая и не оставляет пигментации. Постинфекционная папула более интенсивно окрашена, имеет четкие контуры и оставляет пигментацию, сохраняющуюся около 2 недель.</w:t>
      </w:r>
    </w:p>
    <w:p w:rsidR="00F360A5" w:rsidRPr="00F360A5" w:rsidRDefault="00F360A5" w:rsidP="00F360A5">
      <w:pPr>
        <w:shd w:val="clear" w:color="auto" w:fill="FFFFFF"/>
        <w:spacing w:after="0" w:line="270" w:lineRule="atLeast"/>
        <w:rPr>
          <w:rFonts w:ascii="Verdana" w:eastAsia="Times New Roman" w:hAnsi="Verdana" w:cs="Times New Roman"/>
          <w:color w:val="333333"/>
          <w:spacing w:val="2"/>
          <w:sz w:val="20"/>
          <w:szCs w:val="20"/>
          <w:lang w:eastAsia="ru-RU"/>
        </w:rPr>
      </w:pPr>
      <w:r w:rsidRPr="00F360A5">
        <w:rPr>
          <w:rFonts w:ascii="Verdana" w:eastAsia="Times New Roman" w:hAnsi="Verdana" w:cs="Times New Roman"/>
          <w:color w:val="333333"/>
          <w:spacing w:val="2"/>
          <w:sz w:val="20"/>
          <w:szCs w:val="20"/>
          <w:lang w:eastAsia="ru-RU"/>
        </w:rPr>
        <w:t> </w:t>
      </w:r>
    </w:p>
    <w:tbl>
      <w:tblPr>
        <w:tblW w:w="128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265"/>
        <w:gridCol w:w="2010"/>
        <w:gridCol w:w="2769"/>
        <w:gridCol w:w="3126"/>
        <w:gridCol w:w="2715"/>
      </w:tblGrid>
      <w:tr w:rsidR="00F360A5" w:rsidRPr="00F360A5" w:rsidTr="00F360A5">
        <w:tc>
          <w:tcPr>
            <w:tcW w:w="0" w:type="auto"/>
            <w:vMerge w:val="restart"/>
            <w:tcBorders>
              <w:top w:val="single" w:sz="6" w:space="0" w:color="E7E6E3"/>
              <w:left w:val="single" w:sz="6" w:space="0" w:color="E7E6E3"/>
              <w:bottom w:val="single" w:sz="6" w:space="0" w:color="E7E6E3"/>
              <w:right w:val="single" w:sz="6" w:space="0" w:color="E7E6E3"/>
            </w:tcBorders>
            <w:shd w:val="clear" w:color="auto" w:fill="FFFFFF"/>
            <w:tcMar>
              <w:top w:w="90" w:type="dxa"/>
              <w:left w:w="180" w:type="dxa"/>
              <w:bottom w:w="105" w:type="dxa"/>
              <w:right w:w="180" w:type="dxa"/>
            </w:tcMar>
            <w:hideMark/>
          </w:tcPr>
          <w:p w:rsidR="00F360A5" w:rsidRPr="00F360A5" w:rsidRDefault="00F360A5" w:rsidP="00F360A5">
            <w:pPr>
              <w:spacing w:after="0" w:line="270" w:lineRule="atLeast"/>
              <w:jc w:val="center"/>
              <w:rPr>
                <w:rFonts w:ascii="Verdana" w:eastAsia="Times New Roman" w:hAnsi="Verdana" w:cs="Times New Roman"/>
                <w:color w:val="333333"/>
                <w:spacing w:val="2"/>
                <w:sz w:val="20"/>
                <w:szCs w:val="20"/>
                <w:lang w:eastAsia="ru-RU"/>
              </w:rPr>
            </w:pPr>
            <w:r w:rsidRPr="00F360A5">
              <w:rPr>
                <w:rFonts w:ascii="Verdana" w:eastAsia="Times New Roman" w:hAnsi="Verdana" w:cs="Times New Roman"/>
                <w:b/>
                <w:bCs/>
                <w:color w:val="333333"/>
                <w:spacing w:val="2"/>
                <w:sz w:val="20"/>
                <w:szCs w:val="20"/>
                <w:lang w:eastAsia="ru-RU"/>
              </w:rPr>
              <w:t>Срок, прошедший после прививки БЦЖ</w:t>
            </w:r>
          </w:p>
        </w:tc>
        <w:tc>
          <w:tcPr>
            <w:tcW w:w="0" w:type="auto"/>
            <w:vMerge w:val="restart"/>
            <w:tcBorders>
              <w:top w:val="single" w:sz="6" w:space="0" w:color="E7E6E3"/>
              <w:left w:val="single" w:sz="6" w:space="0" w:color="E7E6E3"/>
              <w:bottom w:val="single" w:sz="6" w:space="0" w:color="E7E6E3"/>
              <w:right w:val="single" w:sz="6" w:space="0" w:color="E7E6E3"/>
            </w:tcBorders>
            <w:shd w:val="clear" w:color="auto" w:fill="FFFFFF"/>
            <w:tcMar>
              <w:top w:w="90" w:type="dxa"/>
              <w:left w:w="180" w:type="dxa"/>
              <w:bottom w:w="105" w:type="dxa"/>
              <w:right w:w="180" w:type="dxa"/>
            </w:tcMar>
            <w:hideMark/>
          </w:tcPr>
          <w:p w:rsidR="00F360A5" w:rsidRPr="00F360A5" w:rsidRDefault="00F360A5" w:rsidP="00F360A5">
            <w:pPr>
              <w:spacing w:after="0" w:line="270" w:lineRule="atLeast"/>
              <w:jc w:val="center"/>
              <w:rPr>
                <w:rFonts w:ascii="Verdana" w:eastAsia="Times New Roman" w:hAnsi="Verdana" w:cs="Times New Roman"/>
                <w:color w:val="333333"/>
                <w:spacing w:val="2"/>
                <w:sz w:val="20"/>
                <w:szCs w:val="20"/>
                <w:lang w:eastAsia="ru-RU"/>
              </w:rPr>
            </w:pPr>
            <w:r w:rsidRPr="00F360A5">
              <w:rPr>
                <w:rFonts w:ascii="Verdana" w:eastAsia="Times New Roman" w:hAnsi="Verdana" w:cs="Times New Roman"/>
                <w:b/>
                <w:bCs/>
                <w:color w:val="333333"/>
                <w:spacing w:val="2"/>
                <w:sz w:val="20"/>
                <w:szCs w:val="20"/>
                <w:lang w:eastAsia="ru-RU"/>
              </w:rPr>
              <w:t>Размер рубчика после прививки БЦЖ</w:t>
            </w:r>
          </w:p>
        </w:tc>
        <w:tc>
          <w:tcPr>
            <w:tcW w:w="0" w:type="auto"/>
            <w:gridSpan w:val="3"/>
            <w:tcBorders>
              <w:top w:val="single" w:sz="6" w:space="0" w:color="E7E6E3"/>
              <w:left w:val="single" w:sz="6" w:space="0" w:color="E7E6E3"/>
              <w:bottom w:val="single" w:sz="6" w:space="0" w:color="E7E6E3"/>
              <w:right w:val="single" w:sz="6" w:space="0" w:color="E7E6E3"/>
            </w:tcBorders>
            <w:shd w:val="clear" w:color="auto" w:fill="FFFFFF"/>
            <w:tcMar>
              <w:top w:w="90" w:type="dxa"/>
              <w:left w:w="180" w:type="dxa"/>
              <w:bottom w:w="105" w:type="dxa"/>
              <w:right w:w="180" w:type="dxa"/>
            </w:tcMar>
            <w:hideMark/>
          </w:tcPr>
          <w:p w:rsidR="00F360A5" w:rsidRPr="00F360A5" w:rsidRDefault="00F360A5" w:rsidP="00F360A5">
            <w:pPr>
              <w:spacing w:after="0" w:line="270" w:lineRule="atLeast"/>
              <w:jc w:val="center"/>
              <w:rPr>
                <w:rFonts w:ascii="Verdana" w:eastAsia="Times New Roman" w:hAnsi="Verdana" w:cs="Times New Roman"/>
                <w:color w:val="333333"/>
                <w:spacing w:val="2"/>
                <w:sz w:val="20"/>
                <w:szCs w:val="20"/>
                <w:lang w:eastAsia="ru-RU"/>
              </w:rPr>
            </w:pPr>
            <w:r w:rsidRPr="00F360A5">
              <w:rPr>
                <w:rFonts w:ascii="Verdana" w:eastAsia="Times New Roman" w:hAnsi="Verdana" w:cs="Times New Roman"/>
                <w:b/>
                <w:bCs/>
                <w:color w:val="333333"/>
                <w:spacing w:val="2"/>
                <w:sz w:val="20"/>
                <w:szCs w:val="20"/>
                <w:lang w:eastAsia="ru-RU"/>
              </w:rPr>
              <w:t>Размер папулы при постановке пробы Манту</w:t>
            </w:r>
          </w:p>
        </w:tc>
      </w:tr>
      <w:tr w:rsidR="00F360A5" w:rsidRPr="00F360A5" w:rsidTr="00F360A5">
        <w:tc>
          <w:tcPr>
            <w:tcW w:w="0" w:type="auto"/>
            <w:vMerge/>
            <w:tcBorders>
              <w:top w:val="single" w:sz="6" w:space="0" w:color="E7E6E3"/>
              <w:left w:val="single" w:sz="6" w:space="0" w:color="E7E6E3"/>
              <w:bottom w:val="single" w:sz="6" w:space="0" w:color="E7E6E3"/>
              <w:right w:val="single" w:sz="6" w:space="0" w:color="E7E6E3"/>
            </w:tcBorders>
            <w:shd w:val="clear" w:color="auto" w:fill="FFFFFF"/>
            <w:vAlign w:val="center"/>
            <w:hideMark/>
          </w:tcPr>
          <w:p w:rsidR="00F360A5" w:rsidRPr="00F360A5" w:rsidRDefault="00F360A5" w:rsidP="00F360A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7E6E3"/>
              <w:left w:val="single" w:sz="6" w:space="0" w:color="E7E6E3"/>
              <w:bottom w:val="single" w:sz="6" w:space="0" w:color="E7E6E3"/>
              <w:right w:val="single" w:sz="6" w:space="0" w:color="E7E6E3"/>
            </w:tcBorders>
            <w:shd w:val="clear" w:color="auto" w:fill="FFFFFF"/>
            <w:vAlign w:val="center"/>
            <w:hideMark/>
          </w:tcPr>
          <w:p w:rsidR="00F360A5" w:rsidRPr="00F360A5" w:rsidRDefault="00F360A5" w:rsidP="00F360A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7E6E3"/>
              <w:left w:val="single" w:sz="6" w:space="0" w:color="E7E6E3"/>
              <w:bottom w:val="single" w:sz="6" w:space="0" w:color="E7E6E3"/>
              <w:right w:val="single" w:sz="6" w:space="0" w:color="E7E6E3"/>
            </w:tcBorders>
            <w:shd w:val="clear" w:color="auto" w:fill="FFFFFF"/>
            <w:tcMar>
              <w:top w:w="90" w:type="dxa"/>
              <w:left w:w="180" w:type="dxa"/>
              <w:bottom w:w="105" w:type="dxa"/>
              <w:right w:w="180" w:type="dxa"/>
            </w:tcMar>
            <w:hideMark/>
          </w:tcPr>
          <w:p w:rsidR="00F360A5" w:rsidRPr="00F360A5" w:rsidRDefault="00F360A5" w:rsidP="00F360A5">
            <w:pPr>
              <w:spacing w:after="0" w:line="270" w:lineRule="atLeast"/>
              <w:jc w:val="center"/>
              <w:rPr>
                <w:rFonts w:ascii="Verdana" w:eastAsia="Times New Roman" w:hAnsi="Verdana" w:cs="Times New Roman"/>
                <w:color w:val="333333"/>
                <w:spacing w:val="2"/>
                <w:sz w:val="20"/>
                <w:szCs w:val="20"/>
                <w:lang w:eastAsia="ru-RU"/>
              </w:rPr>
            </w:pPr>
            <w:r w:rsidRPr="00F360A5">
              <w:rPr>
                <w:rFonts w:ascii="Verdana" w:eastAsia="Times New Roman" w:hAnsi="Verdana" w:cs="Times New Roman"/>
                <w:color w:val="333333"/>
                <w:spacing w:val="2"/>
                <w:sz w:val="20"/>
                <w:szCs w:val="20"/>
                <w:lang w:eastAsia="ru-RU"/>
              </w:rPr>
              <w:t>Поствакцинальный иммунитет</w:t>
            </w:r>
          </w:p>
        </w:tc>
        <w:tc>
          <w:tcPr>
            <w:tcW w:w="0" w:type="auto"/>
            <w:tcBorders>
              <w:top w:val="single" w:sz="6" w:space="0" w:color="E7E6E3"/>
              <w:left w:val="single" w:sz="6" w:space="0" w:color="E7E6E3"/>
              <w:bottom w:val="single" w:sz="6" w:space="0" w:color="E7E6E3"/>
              <w:right w:val="single" w:sz="6" w:space="0" w:color="E7E6E3"/>
            </w:tcBorders>
            <w:shd w:val="clear" w:color="auto" w:fill="FFFFFF"/>
            <w:tcMar>
              <w:top w:w="90" w:type="dxa"/>
              <w:left w:w="180" w:type="dxa"/>
              <w:bottom w:w="105" w:type="dxa"/>
              <w:right w:w="180" w:type="dxa"/>
            </w:tcMar>
            <w:hideMark/>
          </w:tcPr>
          <w:p w:rsidR="00F360A5" w:rsidRPr="00F360A5" w:rsidRDefault="00F360A5" w:rsidP="00F360A5">
            <w:pPr>
              <w:spacing w:after="0" w:line="270" w:lineRule="atLeast"/>
              <w:jc w:val="center"/>
              <w:rPr>
                <w:rFonts w:ascii="Verdana" w:eastAsia="Times New Roman" w:hAnsi="Verdana" w:cs="Times New Roman"/>
                <w:color w:val="333333"/>
                <w:spacing w:val="2"/>
                <w:sz w:val="20"/>
                <w:szCs w:val="20"/>
                <w:lang w:eastAsia="ru-RU"/>
              </w:rPr>
            </w:pPr>
            <w:r w:rsidRPr="00F360A5">
              <w:rPr>
                <w:rFonts w:ascii="Verdana" w:eastAsia="Times New Roman" w:hAnsi="Verdana" w:cs="Times New Roman"/>
                <w:color w:val="333333"/>
                <w:spacing w:val="2"/>
                <w:sz w:val="20"/>
                <w:szCs w:val="20"/>
                <w:lang w:eastAsia="ru-RU"/>
              </w:rPr>
              <w:t>Причина неясна</w:t>
            </w:r>
          </w:p>
        </w:tc>
        <w:tc>
          <w:tcPr>
            <w:tcW w:w="0" w:type="auto"/>
            <w:tcBorders>
              <w:top w:val="single" w:sz="6" w:space="0" w:color="E7E6E3"/>
              <w:left w:val="single" w:sz="6" w:space="0" w:color="E7E6E3"/>
              <w:bottom w:val="single" w:sz="6" w:space="0" w:color="E7E6E3"/>
              <w:right w:val="single" w:sz="6" w:space="0" w:color="E7E6E3"/>
            </w:tcBorders>
            <w:shd w:val="clear" w:color="auto" w:fill="FFFFFF"/>
            <w:tcMar>
              <w:top w:w="90" w:type="dxa"/>
              <w:left w:w="180" w:type="dxa"/>
              <w:bottom w:w="105" w:type="dxa"/>
              <w:right w:w="180" w:type="dxa"/>
            </w:tcMar>
            <w:hideMark/>
          </w:tcPr>
          <w:p w:rsidR="00F360A5" w:rsidRPr="00F360A5" w:rsidRDefault="00F360A5" w:rsidP="00F360A5">
            <w:pPr>
              <w:spacing w:after="0" w:line="270" w:lineRule="atLeast"/>
              <w:jc w:val="center"/>
              <w:rPr>
                <w:rFonts w:ascii="Verdana" w:eastAsia="Times New Roman" w:hAnsi="Verdana" w:cs="Times New Roman"/>
                <w:color w:val="333333"/>
                <w:spacing w:val="2"/>
                <w:sz w:val="20"/>
                <w:szCs w:val="20"/>
                <w:lang w:eastAsia="ru-RU"/>
              </w:rPr>
            </w:pPr>
            <w:r w:rsidRPr="00F360A5">
              <w:rPr>
                <w:rFonts w:ascii="Verdana" w:eastAsia="Times New Roman" w:hAnsi="Verdana" w:cs="Times New Roman"/>
                <w:color w:val="333333"/>
                <w:spacing w:val="2"/>
                <w:sz w:val="20"/>
                <w:szCs w:val="20"/>
                <w:lang w:eastAsia="ru-RU"/>
              </w:rPr>
              <w:t>Инфицирование</w:t>
            </w:r>
          </w:p>
        </w:tc>
      </w:tr>
      <w:tr w:rsidR="00F360A5" w:rsidRPr="00F360A5" w:rsidTr="00F360A5">
        <w:tc>
          <w:tcPr>
            <w:tcW w:w="0" w:type="auto"/>
            <w:vMerge w:val="restart"/>
            <w:tcBorders>
              <w:top w:val="single" w:sz="6" w:space="0" w:color="E7E6E3"/>
              <w:left w:val="single" w:sz="6" w:space="0" w:color="E7E6E3"/>
              <w:bottom w:val="single" w:sz="6" w:space="0" w:color="E7E6E3"/>
              <w:right w:val="single" w:sz="6" w:space="0" w:color="E7E6E3"/>
            </w:tcBorders>
            <w:shd w:val="clear" w:color="auto" w:fill="FFFFFF"/>
            <w:tcMar>
              <w:top w:w="90" w:type="dxa"/>
              <w:left w:w="180" w:type="dxa"/>
              <w:bottom w:w="105" w:type="dxa"/>
              <w:right w:w="180" w:type="dxa"/>
            </w:tcMar>
            <w:hideMark/>
          </w:tcPr>
          <w:p w:rsidR="00F360A5" w:rsidRPr="00F360A5" w:rsidRDefault="00F360A5" w:rsidP="00F360A5">
            <w:pPr>
              <w:spacing w:after="0" w:line="270" w:lineRule="atLeast"/>
              <w:jc w:val="center"/>
              <w:rPr>
                <w:rFonts w:ascii="Verdana" w:eastAsia="Times New Roman" w:hAnsi="Verdana" w:cs="Times New Roman"/>
                <w:color w:val="333333"/>
                <w:spacing w:val="2"/>
                <w:sz w:val="20"/>
                <w:szCs w:val="20"/>
                <w:lang w:eastAsia="ru-RU"/>
              </w:rPr>
            </w:pPr>
            <w:r w:rsidRPr="00F360A5">
              <w:rPr>
                <w:rFonts w:ascii="Verdana" w:eastAsia="Times New Roman" w:hAnsi="Verdana" w:cs="Times New Roman"/>
                <w:color w:val="333333"/>
                <w:spacing w:val="2"/>
                <w:sz w:val="20"/>
                <w:szCs w:val="20"/>
                <w:lang w:eastAsia="ru-RU"/>
              </w:rPr>
              <w:t>1 год</w:t>
            </w:r>
          </w:p>
        </w:tc>
        <w:tc>
          <w:tcPr>
            <w:tcW w:w="0" w:type="auto"/>
            <w:tcBorders>
              <w:top w:val="single" w:sz="6" w:space="0" w:color="E7E6E3"/>
              <w:left w:val="single" w:sz="6" w:space="0" w:color="E7E6E3"/>
              <w:bottom w:val="single" w:sz="6" w:space="0" w:color="E7E6E3"/>
              <w:right w:val="single" w:sz="6" w:space="0" w:color="E7E6E3"/>
            </w:tcBorders>
            <w:shd w:val="clear" w:color="auto" w:fill="FFFFFF"/>
            <w:tcMar>
              <w:top w:w="90" w:type="dxa"/>
              <w:left w:w="180" w:type="dxa"/>
              <w:bottom w:w="105" w:type="dxa"/>
              <w:right w:w="180" w:type="dxa"/>
            </w:tcMar>
            <w:hideMark/>
          </w:tcPr>
          <w:p w:rsidR="00F360A5" w:rsidRPr="00F360A5" w:rsidRDefault="00F360A5" w:rsidP="00F360A5">
            <w:pPr>
              <w:spacing w:after="0" w:line="270" w:lineRule="atLeast"/>
              <w:jc w:val="center"/>
              <w:rPr>
                <w:rFonts w:ascii="Verdana" w:eastAsia="Times New Roman" w:hAnsi="Verdana" w:cs="Times New Roman"/>
                <w:color w:val="333333"/>
                <w:spacing w:val="2"/>
                <w:sz w:val="20"/>
                <w:szCs w:val="20"/>
                <w:lang w:eastAsia="ru-RU"/>
              </w:rPr>
            </w:pPr>
            <w:r w:rsidRPr="00F360A5">
              <w:rPr>
                <w:rFonts w:ascii="Verdana" w:eastAsia="Times New Roman" w:hAnsi="Verdana" w:cs="Times New Roman"/>
                <w:color w:val="333333"/>
                <w:spacing w:val="2"/>
                <w:sz w:val="20"/>
                <w:szCs w:val="20"/>
                <w:lang w:eastAsia="ru-RU"/>
              </w:rPr>
              <w:t>6-10 мм</w:t>
            </w:r>
          </w:p>
        </w:tc>
        <w:tc>
          <w:tcPr>
            <w:tcW w:w="0" w:type="auto"/>
            <w:tcBorders>
              <w:top w:val="single" w:sz="6" w:space="0" w:color="E7E6E3"/>
              <w:left w:val="single" w:sz="6" w:space="0" w:color="E7E6E3"/>
              <w:bottom w:val="single" w:sz="6" w:space="0" w:color="E7E6E3"/>
              <w:right w:val="single" w:sz="6" w:space="0" w:color="E7E6E3"/>
            </w:tcBorders>
            <w:shd w:val="clear" w:color="auto" w:fill="FFFFFF"/>
            <w:tcMar>
              <w:top w:w="90" w:type="dxa"/>
              <w:left w:w="180" w:type="dxa"/>
              <w:bottom w:w="105" w:type="dxa"/>
              <w:right w:w="180" w:type="dxa"/>
            </w:tcMar>
            <w:hideMark/>
          </w:tcPr>
          <w:p w:rsidR="00F360A5" w:rsidRPr="00F360A5" w:rsidRDefault="00F360A5" w:rsidP="00F360A5">
            <w:pPr>
              <w:spacing w:after="0" w:line="270" w:lineRule="atLeast"/>
              <w:jc w:val="center"/>
              <w:rPr>
                <w:rFonts w:ascii="Verdana" w:eastAsia="Times New Roman" w:hAnsi="Verdana" w:cs="Times New Roman"/>
                <w:color w:val="333333"/>
                <w:spacing w:val="2"/>
                <w:sz w:val="20"/>
                <w:szCs w:val="20"/>
                <w:lang w:eastAsia="ru-RU"/>
              </w:rPr>
            </w:pPr>
            <w:r w:rsidRPr="00F360A5">
              <w:rPr>
                <w:rFonts w:ascii="Verdana" w:eastAsia="Times New Roman" w:hAnsi="Verdana" w:cs="Times New Roman"/>
                <w:color w:val="333333"/>
                <w:spacing w:val="2"/>
                <w:sz w:val="20"/>
                <w:szCs w:val="20"/>
                <w:lang w:eastAsia="ru-RU"/>
              </w:rPr>
              <w:t> </w:t>
            </w:r>
          </w:p>
          <w:p w:rsidR="00F360A5" w:rsidRPr="00F360A5" w:rsidRDefault="00F360A5" w:rsidP="00F360A5">
            <w:pPr>
              <w:spacing w:after="0" w:line="270" w:lineRule="atLeast"/>
              <w:jc w:val="center"/>
              <w:rPr>
                <w:rFonts w:ascii="Verdana" w:eastAsia="Times New Roman" w:hAnsi="Verdana" w:cs="Times New Roman"/>
                <w:color w:val="333333"/>
                <w:spacing w:val="2"/>
                <w:sz w:val="20"/>
                <w:szCs w:val="20"/>
                <w:lang w:eastAsia="ru-RU"/>
              </w:rPr>
            </w:pPr>
            <w:r w:rsidRPr="00F360A5">
              <w:rPr>
                <w:rFonts w:ascii="Verdana" w:eastAsia="Times New Roman" w:hAnsi="Verdana" w:cs="Times New Roman"/>
                <w:color w:val="333333"/>
                <w:spacing w:val="2"/>
                <w:sz w:val="20"/>
                <w:szCs w:val="20"/>
                <w:lang w:eastAsia="ru-RU"/>
              </w:rPr>
              <w:t>5-15 мм</w:t>
            </w:r>
          </w:p>
          <w:p w:rsidR="00F360A5" w:rsidRPr="00F360A5" w:rsidRDefault="00F360A5" w:rsidP="00F360A5">
            <w:pPr>
              <w:spacing w:after="0" w:line="270" w:lineRule="atLeast"/>
              <w:jc w:val="center"/>
              <w:rPr>
                <w:rFonts w:ascii="Verdana" w:eastAsia="Times New Roman" w:hAnsi="Verdana" w:cs="Times New Roman"/>
                <w:color w:val="333333"/>
                <w:spacing w:val="2"/>
                <w:sz w:val="20"/>
                <w:szCs w:val="20"/>
                <w:lang w:eastAsia="ru-RU"/>
              </w:rPr>
            </w:pPr>
            <w:r w:rsidRPr="00F360A5">
              <w:rPr>
                <w:rFonts w:ascii="Verdana" w:eastAsia="Times New Roman" w:hAnsi="Verdana" w:cs="Times New Roman"/>
                <w:color w:val="333333"/>
                <w:spacing w:val="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7E6E3"/>
              <w:left w:val="single" w:sz="6" w:space="0" w:color="E7E6E3"/>
              <w:bottom w:val="single" w:sz="6" w:space="0" w:color="E7E6E3"/>
              <w:right w:val="single" w:sz="6" w:space="0" w:color="E7E6E3"/>
            </w:tcBorders>
            <w:shd w:val="clear" w:color="auto" w:fill="FFFFFF"/>
            <w:tcMar>
              <w:top w:w="90" w:type="dxa"/>
              <w:left w:w="180" w:type="dxa"/>
              <w:bottom w:w="105" w:type="dxa"/>
              <w:right w:w="180" w:type="dxa"/>
            </w:tcMar>
            <w:hideMark/>
          </w:tcPr>
          <w:p w:rsidR="00F360A5" w:rsidRPr="00F360A5" w:rsidRDefault="00F360A5" w:rsidP="00F360A5">
            <w:pPr>
              <w:spacing w:after="0" w:line="270" w:lineRule="atLeast"/>
              <w:jc w:val="center"/>
              <w:rPr>
                <w:rFonts w:ascii="Verdana" w:eastAsia="Times New Roman" w:hAnsi="Verdana" w:cs="Times New Roman"/>
                <w:color w:val="333333"/>
                <w:spacing w:val="2"/>
                <w:sz w:val="20"/>
                <w:szCs w:val="20"/>
                <w:lang w:eastAsia="ru-RU"/>
              </w:rPr>
            </w:pPr>
            <w:r w:rsidRPr="00F360A5">
              <w:rPr>
                <w:rFonts w:ascii="Verdana" w:eastAsia="Times New Roman" w:hAnsi="Verdana" w:cs="Times New Roman"/>
                <w:color w:val="333333"/>
                <w:spacing w:val="2"/>
                <w:sz w:val="20"/>
                <w:szCs w:val="20"/>
                <w:lang w:eastAsia="ru-RU"/>
              </w:rPr>
              <w:t>16 мм</w:t>
            </w:r>
          </w:p>
        </w:tc>
        <w:tc>
          <w:tcPr>
            <w:tcW w:w="0" w:type="auto"/>
            <w:tcBorders>
              <w:top w:val="single" w:sz="6" w:space="0" w:color="E7E6E3"/>
              <w:left w:val="single" w:sz="6" w:space="0" w:color="E7E6E3"/>
              <w:bottom w:val="single" w:sz="6" w:space="0" w:color="E7E6E3"/>
              <w:right w:val="single" w:sz="6" w:space="0" w:color="E7E6E3"/>
            </w:tcBorders>
            <w:shd w:val="clear" w:color="auto" w:fill="FFFFFF"/>
            <w:tcMar>
              <w:top w:w="90" w:type="dxa"/>
              <w:left w:w="180" w:type="dxa"/>
              <w:bottom w:w="105" w:type="dxa"/>
              <w:right w:w="180" w:type="dxa"/>
            </w:tcMar>
            <w:hideMark/>
          </w:tcPr>
          <w:p w:rsidR="00F360A5" w:rsidRPr="00F360A5" w:rsidRDefault="00F360A5" w:rsidP="00F360A5">
            <w:pPr>
              <w:spacing w:after="0" w:line="270" w:lineRule="atLeast"/>
              <w:jc w:val="center"/>
              <w:rPr>
                <w:rFonts w:ascii="Verdana" w:eastAsia="Times New Roman" w:hAnsi="Verdana" w:cs="Times New Roman"/>
                <w:color w:val="333333"/>
                <w:spacing w:val="2"/>
                <w:sz w:val="20"/>
                <w:szCs w:val="20"/>
                <w:lang w:eastAsia="ru-RU"/>
              </w:rPr>
            </w:pPr>
            <w:r w:rsidRPr="00F360A5">
              <w:rPr>
                <w:rFonts w:ascii="Verdana" w:eastAsia="Times New Roman" w:hAnsi="Verdana" w:cs="Times New Roman"/>
                <w:color w:val="333333"/>
                <w:spacing w:val="2"/>
                <w:sz w:val="20"/>
                <w:szCs w:val="20"/>
                <w:lang w:eastAsia="ru-RU"/>
              </w:rPr>
              <w:t>более 17 мм</w:t>
            </w:r>
          </w:p>
        </w:tc>
      </w:tr>
      <w:tr w:rsidR="00F360A5" w:rsidRPr="00F360A5" w:rsidTr="00F360A5">
        <w:tc>
          <w:tcPr>
            <w:tcW w:w="0" w:type="auto"/>
            <w:vMerge/>
            <w:tcBorders>
              <w:top w:val="single" w:sz="6" w:space="0" w:color="E7E6E3"/>
              <w:left w:val="single" w:sz="6" w:space="0" w:color="E7E6E3"/>
              <w:bottom w:val="single" w:sz="6" w:space="0" w:color="E7E6E3"/>
              <w:right w:val="single" w:sz="6" w:space="0" w:color="E7E6E3"/>
            </w:tcBorders>
            <w:shd w:val="clear" w:color="auto" w:fill="FFFFFF"/>
            <w:vAlign w:val="center"/>
            <w:hideMark/>
          </w:tcPr>
          <w:p w:rsidR="00F360A5" w:rsidRPr="00F360A5" w:rsidRDefault="00F360A5" w:rsidP="00F360A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7E6E3"/>
              <w:left w:val="single" w:sz="6" w:space="0" w:color="E7E6E3"/>
              <w:bottom w:val="single" w:sz="6" w:space="0" w:color="E7E6E3"/>
              <w:right w:val="single" w:sz="6" w:space="0" w:color="E7E6E3"/>
            </w:tcBorders>
            <w:shd w:val="clear" w:color="auto" w:fill="FFFFFF"/>
            <w:tcMar>
              <w:top w:w="90" w:type="dxa"/>
              <w:left w:w="180" w:type="dxa"/>
              <w:bottom w:w="105" w:type="dxa"/>
              <w:right w:w="180" w:type="dxa"/>
            </w:tcMar>
            <w:hideMark/>
          </w:tcPr>
          <w:p w:rsidR="00F360A5" w:rsidRPr="00F360A5" w:rsidRDefault="00F360A5" w:rsidP="00F360A5">
            <w:pPr>
              <w:spacing w:after="0" w:line="270" w:lineRule="atLeast"/>
              <w:jc w:val="center"/>
              <w:rPr>
                <w:rFonts w:ascii="Verdana" w:eastAsia="Times New Roman" w:hAnsi="Verdana" w:cs="Times New Roman"/>
                <w:color w:val="333333"/>
                <w:spacing w:val="2"/>
                <w:sz w:val="20"/>
                <w:szCs w:val="20"/>
                <w:lang w:eastAsia="ru-RU"/>
              </w:rPr>
            </w:pPr>
            <w:r w:rsidRPr="00F360A5">
              <w:rPr>
                <w:rFonts w:ascii="Verdana" w:eastAsia="Times New Roman" w:hAnsi="Verdana" w:cs="Times New Roman"/>
                <w:color w:val="333333"/>
                <w:spacing w:val="2"/>
                <w:sz w:val="20"/>
                <w:szCs w:val="20"/>
                <w:lang w:eastAsia="ru-RU"/>
              </w:rPr>
              <w:t>2-5 мм</w:t>
            </w:r>
          </w:p>
        </w:tc>
        <w:tc>
          <w:tcPr>
            <w:tcW w:w="0" w:type="auto"/>
            <w:tcBorders>
              <w:top w:val="single" w:sz="6" w:space="0" w:color="E7E6E3"/>
              <w:left w:val="single" w:sz="6" w:space="0" w:color="E7E6E3"/>
              <w:bottom w:val="single" w:sz="6" w:space="0" w:color="E7E6E3"/>
              <w:right w:val="single" w:sz="6" w:space="0" w:color="E7E6E3"/>
            </w:tcBorders>
            <w:shd w:val="clear" w:color="auto" w:fill="FFFFFF"/>
            <w:tcMar>
              <w:top w:w="90" w:type="dxa"/>
              <w:left w:w="180" w:type="dxa"/>
              <w:bottom w:w="105" w:type="dxa"/>
              <w:right w:w="180" w:type="dxa"/>
            </w:tcMar>
            <w:hideMark/>
          </w:tcPr>
          <w:p w:rsidR="00F360A5" w:rsidRPr="00F360A5" w:rsidRDefault="00F360A5" w:rsidP="00F360A5">
            <w:pPr>
              <w:spacing w:after="0" w:line="270" w:lineRule="atLeast"/>
              <w:jc w:val="center"/>
              <w:rPr>
                <w:rFonts w:ascii="Verdana" w:eastAsia="Times New Roman" w:hAnsi="Verdana" w:cs="Times New Roman"/>
                <w:color w:val="333333"/>
                <w:spacing w:val="2"/>
                <w:sz w:val="20"/>
                <w:szCs w:val="20"/>
                <w:lang w:eastAsia="ru-RU"/>
              </w:rPr>
            </w:pPr>
            <w:r w:rsidRPr="00F360A5">
              <w:rPr>
                <w:rFonts w:ascii="Verdana" w:eastAsia="Times New Roman" w:hAnsi="Verdana" w:cs="Times New Roman"/>
                <w:color w:val="333333"/>
                <w:spacing w:val="2"/>
                <w:sz w:val="20"/>
                <w:szCs w:val="20"/>
                <w:lang w:eastAsia="ru-RU"/>
              </w:rPr>
              <w:t>5-11 мм</w:t>
            </w:r>
          </w:p>
          <w:p w:rsidR="00F360A5" w:rsidRPr="00F360A5" w:rsidRDefault="00F360A5" w:rsidP="00F360A5">
            <w:pPr>
              <w:spacing w:after="0" w:line="270" w:lineRule="atLeast"/>
              <w:jc w:val="center"/>
              <w:rPr>
                <w:rFonts w:ascii="Verdana" w:eastAsia="Times New Roman" w:hAnsi="Verdana" w:cs="Times New Roman"/>
                <w:color w:val="333333"/>
                <w:spacing w:val="2"/>
                <w:sz w:val="20"/>
                <w:szCs w:val="20"/>
                <w:lang w:eastAsia="ru-RU"/>
              </w:rPr>
            </w:pPr>
            <w:r w:rsidRPr="00F360A5">
              <w:rPr>
                <w:rFonts w:ascii="Verdana" w:eastAsia="Times New Roman" w:hAnsi="Verdana" w:cs="Times New Roman"/>
                <w:color w:val="333333"/>
                <w:spacing w:val="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7E6E3"/>
              <w:left w:val="single" w:sz="6" w:space="0" w:color="E7E6E3"/>
              <w:bottom w:val="single" w:sz="6" w:space="0" w:color="E7E6E3"/>
              <w:right w:val="single" w:sz="6" w:space="0" w:color="E7E6E3"/>
            </w:tcBorders>
            <w:shd w:val="clear" w:color="auto" w:fill="FFFFFF"/>
            <w:tcMar>
              <w:top w:w="90" w:type="dxa"/>
              <w:left w:w="180" w:type="dxa"/>
              <w:bottom w:w="105" w:type="dxa"/>
              <w:right w:w="180" w:type="dxa"/>
            </w:tcMar>
            <w:hideMark/>
          </w:tcPr>
          <w:p w:rsidR="00F360A5" w:rsidRPr="00F360A5" w:rsidRDefault="00F360A5" w:rsidP="00F360A5">
            <w:pPr>
              <w:spacing w:after="0" w:line="270" w:lineRule="atLeast"/>
              <w:jc w:val="center"/>
              <w:rPr>
                <w:rFonts w:ascii="Verdana" w:eastAsia="Times New Roman" w:hAnsi="Verdana" w:cs="Times New Roman"/>
                <w:color w:val="333333"/>
                <w:spacing w:val="2"/>
                <w:sz w:val="20"/>
                <w:szCs w:val="20"/>
                <w:lang w:eastAsia="ru-RU"/>
              </w:rPr>
            </w:pPr>
            <w:r w:rsidRPr="00F360A5">
              <w:rPr>
                <w:rFonts w:ascii="Verdana" w:eastAsia="Times New Roman" w:hAnsi="Verdana" w:cs="Times New Roman"/>
                <w:color w:val="333333"/>
                <w:spacing w:val="2"/>
                <w:sz w:val="20"/>
                <w:szCs w:val="20"/>
                <w:lang w:eastAsia="ru-RU"/>
              </w:rPr>
              <w:t>12-15 мм</w:t>
            </w:r>
          </w:p>
        </w:tc>
        <w:tc>
          <w:tcPr>
            <w:tcW w:w="0" w:type="auto"/>
            <w:tcBorders>
              <w:top w:val="single" w:sz="6" w:space="0" w:color="E7E6E3"/>
              <w:left w:val="single" w:sz="6" w:space="0" w:color="E7E6E3"/>
              <w:bottom w:val="single" w:sz="6" w:space="0" w:color="E7E6E3"/>
              <w:right w:val="single" w:sz="6" w:space="0" w:color="E7E6E3"/>
            </w:tcBorders>
            <w:shd w:val="clear" w:color="auto" w:fill="FFFFFF"/>
            <w:tcMar>
              <w:top w:w="90" w:type="dxa"/>
              <w:left w:w="180" w:type="dxa"/>
              <w:bottom w:w="105" w:type="dxa"/>
              <w:right w:w="180" w:type="dxa"/>
            </w:tcMar>
            <w:hideMark/>
          </w:tcPr>
          <w:p w:rsidR="00F360A5" w:rsidRPr="00F360A5" w:rsidRDefault="00F360A5" w:rsidP="00F360A5">
            <w:pPr>
              <w:spacing w:after="0" w:line="270" w:lineRule="atLeast"/>
              <w:jc w:val="center"/>
              <w:rPr>
                <w:rFonts w:ascii="Verdana" w:eastAsia="Times New Roman" w:hAnsi="Verdana" w:cs="Times New Roman"/>
                <w:color w:val="333333"/>
                <w:spacing w:val="2"/>
                <w:sz w:val="20"/>
                <w:szCs w:val="20"/>
                <w:lang w:eastAsia="ru-RU"/>
              </w:rPr>
            </w:pPr>
            <w:r w:rsidRPr="00F360A5">
              <w:rPr>
                <w:rFonts w:ascii="Verdana" w:eastAsia="Times New Roman" w:hAnsi="Verdana" w:cs="Times New Roman"/>
                <w:color w:val="333333"/>
                <w:spacing w:val="2"/>
                <w:sz w:val="20"/>
                <w:szCs w:val="20"/>
                <w:lang w:eastAsia="ru-RU"/>
              </w:rPr>
              <w:t>более 16 мм</w:t>
            </w:r>
          </w:p>
        </w:tc>
      </w:tr>
      <w:tr w:rsidR="00F360A5" w:rsidRPr="00F360A5" w:rsidTr="00F360A5">
        <w:tc>
          <w:tcPr>
            <w:tcW w:w="0" w:type="auto"/>
            <w:vMerge/>
            <w:tcBorders>
              <w:top w:val="single" w:sz="6" w:space="0" w:color="E7E6E3"/>
              <w:left w:val="single" w:sz="6" w:space="0" w:color="E7E6E3"/>
              <w:bottom w:val="single" w:sz="6" w:space="0" w:color="E7E6E3"/>
              <w:right w:val="single" w:sz="6" w:space="0" w:color="E7E6E3"/>
            </w:tcBorders>
            <w:shd w:val="clear" w:color="auto" w:fill="FFFFFF"/>
            <w:vAlign w:val="center"/>
            <w:hideMark/>
          </w:tcPr>
          <w:p w:rsidR="00F360A5" w:rsidRPr="00F360A5" w:rsidRDefault="00F360A5" w:rsidP="00F360A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7E6E3"/>
              <w:left w:val="single" w:sz="6" w:space="0" w:color="E7E6E3"/>
              <w:bottom w:val="single" w:sz="6" w:space="0" w:color="E7E6E3"/>
              <w:right w:val="single" w:sz="6" w:space="0" w:color="E7E6E3"/>
            </w:tcBorders>
            <w:shd w:val="clear" w:color="auto" w:fill="FFFFFF"/>
            <w:tcMar>
              <w:top w:w="90" w:type="dxa"/>
              <w:left w:w="180" w:type="dxa"/>
              <w:bottom w:w="105" w:type="dxa"/>
              <w:right w:w="180" w:type="dxa"/>
            </w:tcMar>
            <w:hideMark/>
          </w:tcPr>
          <w:p w:rsidR="00F360A5" w:rsidRPr="00F360A5" w:rsidRDefault="00F360A5" w:rsidP="00F360A5">
            <w:pPr>
              <w:spacing w:after="0" w:line="270" w:lineRule="atLeast"/>
              <w:jc w:val="center"/>
              <w:rPr>
                <w:rFonts w:ascii="Verdana" w:eastAsia="Times New Roman" w:hAnsi="Verdana" w:cs="Times New Roman"/>
                <w:color w:val="333333"/>
                <w:spacing w:val="2"/>
                <w:sz w:val="20"/>
                <w:szCs w:val="20"/>
                <w:lang w:eastAsia="ru-RU"/>
              </w:rPr>
            </w:pPr>
            <w:r w:rsidRPr="00F360A5">
              <w:rPr>
                <w:rFonts w:ascii="Verdana" w:eastAsia="Times New Roman" w:hAnsi="Verdana" w:cs="Times New Roman"/>
                <w:color w:val="333333"/>
                <w:spacing w:val="2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E7E6E3"/>
              <w:left w:val="single" w:sz="6" w:space="0" w:color="E7E6E3"/>
              <w:bottom w:val="single" w:sz="6" w:space="0" w:color="E7E6E3"/>
              <w:right w:val="single" w:sz="6" w:space="0" w:color="E7E6E3"/>
            </w:tcBorders>
            <w:shd w:val="clear" w:color="auto" w:fill="FFFFFF"/>
            <w:tcMar>
              <w:top w:w="90" w:type="dxa"/>
              <w:left w:w="180" w:type="dxa"/>
              <w:bottom w:w="105" w:type="dxa"/>
              <w:right w:w="180" w:type="dxa"/>
            </w:tcMar>
            <w:hideMark/>
          </w:tcPr>
          <w:p w:rsidR="00F360A5" w:rsidRPr="00F360A5" w:rsidRDefault="00F360A5" w:rsidP="00F360A5">
            <w:pPr>
              <w:spacing w:after="0" w:line="270" w:lineRule="atLeast"/>
              <w:jc w:val="center"/>
              <w:rPr>
                <w:rFonts w:ascii="Verdana" w:eastAsia="Times New Roman" w:hAnsi="Verdana" w:cs="Times New Roman"/>
                <w:color w:val="333333"/>
                <w:spacing w:val="2"/>
                <w:sz w:val="20"/>
                <w:szCs w:val="20"/>
                <w:lang w:eastAsia="ru-RU"/>
              </w:rPr>
            </w:pPr>
            <w:r w:rsidRPr="00F360A5">
              <w:rPr>
                <w:rFonts w:ascii="Verdana" w:eastAsia="Times New Roman" w:hAnsi="Verdana" w:cs="Times New Roman"/>
                <w:color w:val="333333"/>
                <w:spacing w:val="2"/>
                <w:sz w:val="20"/>
                <w:szCs w:val="20"/>
                <w:lang w:eastAsia="ru-RU"/>
              </w:rPr>
              <w:t>Сомнительная</w:t>
            </w:r>
          </w:p>
          <w:p w:rsidR="00F360A5" w:rsidRPr="00F360A5" w:rsidRDefault="00F360A5" w:rsidP="00F360A5">
            <w:pPr>
              <w:spacing w:after="0" w:line="270" w:lineRule="atLeast"/>
              <w:jc w:val="center"/>
              <w:rPr>
                <w:rFonts w:ascii="Verdana" w:eastAsia="Times New Roman" w:hAnsi="Verdana" w:cs="Times New Roman"/>
                <w:color w:val="333333"/>
                <w:spacing w:val="2"/>
                <w:sz w:val="20"/>
                <w:szCs w:val="20"/>
                <w:lang w:eastAsia="ru-RU"/>
              </w:rPr>
            </w:pPr>
            <w:r w:rsidRPr="00F360A5">
              <w:rPr>
                <w:rFonts w:ascii="Verdana" w:eastAsia="Times New Roman" w:hAnsi="Verdana" w:cs="Times New Roman"/>
                <w:color w:val="333333"/>
                <w:spacing w:val="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7E6E3"/>
              <w:left w:val="single" w:sz="6" w:space="0" w:color="E7E6E3"/>
              <w:bottom w:val="single" w:sz="6" w:space="0" w:color="E7E6E3"/>
              <w:right w:val="single" w:sz="6" w:space="0" w:color="E7E6E3"/>
            </w:tcBorders>
            <w:shd w:val="clear" w:color="auto" w:fill="FFFFFF"/>
            <w:tcMar>
              <w:top w:w="90" w:type="dxa"/>
              <w:left w:w="180" w:type="dxa"/>
              <w:bottom w:w="105" w:type="dxa"/>
              <w:right w:w="180" w:type="dxa"/>
            </w:tcMar>
            <w:hideMark/>
          </w:tcPr>
          <w:p w:rsidR="00F360A5" w:rsidRPr="00F360A5" w:rsidRDefault="00F360A5" w:rsidP="00F360A5">
            <w:pPr>
              <w:spacing w:after="0" w:line="270" w:lineRule="atLeast"/>
              <w:jc w:val="center"/>
              <w:rPr>
                <w:rFonts w:ascii="Verdana" w:eastAsia="Times New Roman" w:hAnsi="Verdana" w:cs="Times New Roman"/>
                <w:color w:val="333333"/>
                <w:spacing w:val="2"/>
                <w:sz w:val="20"/>
                <w:szCs w:val="20"/>
                <w:lang w:eastAsia="ru-RU"/>
              </w:rPr>
            </w:pPr>
            <w:r w:rsidRPr="00F360A5">
              <w:rPr>
                <w:rFonts w:ascii="Verdana" w:eastAsia="Times New Roman" w:hAnsi="Verdana" w:cs="Times New Roman"/>
                <w:color w:val="333333"/>
                <w:spacing w:val="2"/>
                <w:sz w:val="20"/>
                <w:szCs w:val="20"/>
                <w:lang w:eastAsia="ru-RU"/>
              </w:rPr>
              <w:t>5-11 мм</w:t>
            </w:r>
          </w:p>
        </w:tc>
        <w:tc>
          <w:tcPr>
            <w:tcW w:w="0" w:type="auto"/>
            <w:tcBorders>
              <w:top w:val="single" w:sz="6" w:space="0" w:color="E7E6E3"/>
              <w:left w:val="single" w:sz="6" w:space="0" w:color="E7E6E3"/>
              <w:bottom w:val="single" w:sz="6" w:space="0" w:color="E7E6E3"/>
              <w:right w:val="single" w:sz="6" w:space="0" w:color="E7E6E3"/>
            </w:tcBorders>
            <w:shd w:val="clear" w:color="auto" w:fill="FFFFFF"/>
            <w:tcMar>
              <w:top w:w="90" w:type="dxa"/>
              <w:left w:w="180" w:type="dxa"/>
              <w:bottom w:w="105" w:type="dxa"/>
              <w:right w:w="180" w:type="dxa"/>
            </w:tcMar>
            <w:hideMark/>
          </w:tcPr>
          <w:p w:rsidR="00F360A5" w:rsidRPr="00F360A5" w:rsidRDefault="00F360A5" w:rsidP="00F360A5">
            <w:pPr>
              <w:spacing w:after="0" w:line="270" w:lineRule="atLeast"/>
              <w:jc w:val="center"/>
              <w:rPr>
                <w:rFonts w:ascii="Verdana" w:eastAsia="Times New Roman" w:hAnsi="Verdana" w:cs="Times New Roman"/>
                <w:color w:val="333333"/>
                <w:spacing w:val="2"/>
                <w:sz w:val="20"/>
                <w:szCs w:val="20"/>
                <w:lang w:eastAsia="ru-RU"/>
              </w:rPr>
            </w:pPr>
            <w:r w:rsidRPr="00F360A5">
              <w:rPr>
                <w:rFonts w:ascii="Verdana" w:eastAsia="Times New Roman" w:hAnsi="Verdana" w:cs="Times New Roman"/>
                <w:color w:val="333333"/>
                <w:spacing w:val="2"/>
                <w:sz w:val="20"/>
                <w:szCs w:val="20"/>
                <w:lang w:eastAsia="ru-RU"/>
              </w:rPr>
              <w:t>более 12 мм</w:t>
            </w:r>
          </w:p>
        </w:tc>
      </w:tr>
      <w:tr w:rsidR="00F360A5" w:rsidRPr="00F360A5" w:rsidTr="00F360A5">
        <w:tc>
          <w:tcPr>
            <w:tcW w:w="0" w:type="auto"/>
            <w:tcBorders>
              <w:top w:val="single" w:sz="6" w:space="0" w:color="E7E6E3"/>
              <w:left w:val="single" w:sz="6" w:space="0" w:color="E7E6E3"/>
              <w:bottom w:val="single" w:sz="6" w:space="0" w:color="E7E6E3"/>
              <w:right w:val="single" w:sz="6" w:space="0" w:color="E7E6E3"/>
            </w:tcBorders>
            <w:shd w:val="clear" w:color="auto" w:fill="FFFFFF"/>
            <w:tcMar>
              <w:top w:w="90" w:type="dxa"/>
              <w:left w:w="180" w:type="dxa"/>
              <w:bottom w:w="105" w:type="dxa"/>
              <w:right w:w="180" w:type="dxa"/>
            </w:tcMar>
            <w:hideMark/>
          </w:tcPr>
          <w:p w:rsidR="00F360A5" w:rsidRPr="00F360A5" w:rsidRDefault="00F360A5" w:rsidP="00F360A5">
            <w:pPr>
              <w:spacing w:after="0" w:line="270" w:lineRule="atLeast"/>
              <w:jc w:val="center"/>
              <w:rPr>
                <w:rFonts w:ascii="Verdana" w:eastAsia="Times New Roman" w:hAnsi="Verdana" w:cs="Times New Roman"/>
                <w:color w:val="333333"/>
                <w:spacing w:val="2"/>
                <w:sz w:val="20"/>
                <w:szCs w:val="20"/>
                <w:lang w:eastAsia="ru-RU"/>
              </w:rPr>
            </w:pPr>
            <w:r w:rsidRPr="00F360A5">
              <w:rPr>
                <w:rFonts w:ascii="Verdana" w:eastAsia="Times New Roman" w:hAnsi="Verdana" w:cs="Times New Roman"/>
                <w:color w:val="333333"/>
                <w:spacing w:val="2"/>
                <w:sz w:val="20"/>
                <w:szCs w:val="20"/>
                <w:lang w:eastAsia="ru-RU"/>
              </w:rPr>
              <w:t>2 года</w:t>
            </w:r>
          </w:p>
        </w:tc>
        <w:tc>
          <w:tcPr>
            <w:tcW w:w="0" w:type="auto"/>
            <w:tcBorders>
              <w:top w:val="single" w:sz="6" w:space="0" w:color="E7E6E3"/>
              <w:left w:val="single" w:sz="6" w:space="0" w:color="E7E6E3"/>
              <w:bottom w:val="single" w:sz="6" w:space="0" w:color="E7E6E3"/>
              <w:right w:val="single" w:sz="6" w:space="0" w:color="E7E6E3"/>
            </w:tcBorders>
            <w:shd w:val="clear" w:color="auto" w:fill="FFFFFF"/>
            <w:tcMar>
              <w:top w:w="90" w:type="dxa"/>
              <w:left w:w="180" w:type="dxa"/>
              <w:bottom w:w="105" w:type="dxa"/>
              <w:right w:w="180" w:type="dxa"/>
            </w:tcMar>
            <w:hideMark/>
          </w:tcPr>
          <w:p w:rsidR="00F360A5" w:rsidRPr="00F360A5" w:rsidRDefault="00F360A5" w:rsidP="00F360A5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pacing w:val="2"/>
                <w:sz w:val="20"/>
                <w:szCs w:val="20"/>
                <w:lang w:eastAsia="ru-RU"/>
              </w:rPr>
            </w:pPr>
            <w:r w:rsidRPr="00F360A5">
              <w:rPr>
                <w:rFonts w:ascii="Verdana" w:eastAsia="Times New Roman" w:hAnsi="Verdana" w:cs="Times New Roman"/>
                <w:color w:val="333333"/>
                <w:spacing w:val="2"/>
                <w:sz w:val="20"/>
                <w:szCs w:val="20"/>
                <w:lang w:eastAsia="ru-RU"/>
              </w:rPr>
              <w:t>Не имеет значения</w:t>
            </w:r>
          </w:p>
        </w:tc>
        <w:tc>
          <w:tcPr>
            <w:tcW w:w="0" w:type="auto"/>
            <w:tcBorders>
              <w:top w:val="single" w:sz="6" w:space="0" w:color="E7E6E3"/>
              <w:left w:val="single" w:sz="6" w:space="0" w:color="E7E6E3"/>
              <w:bottom w:val="single" w:sz="6" w:space="0" w:color="E7E6E3"/>
              <w:right w:val="single" w:sz="6" w:space="0" w:color="E7E6E3"/>
            </w:tcBorders>
            <w:shd w:val="clear" w:color="auto" w:fill="FFFFFF"/>
            <w:tcMar>
              <w:top w:w="90" w:type="dxa"/>
              <w:left w:w="180" w:type="dxa"/>
              <w:bottom w:w="105" w:type="dxa"/>
              <w:right w:w="180" w:type="dxa"/>
            </w:tcMar>
            <w:hideMark/>
          </w:tcPr>
          <w:p w:rsidR="00F360A5" w:rsidRPr="00F360A5" w:rsidRDefault="00F360A5" w:rsidP="00F360A5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pacing w:val="2"/>
                <w:sz w:val="20"/>
                <w:szCs w:val="20"/>
                <w:lang w:eastAsia="ru-RU"/>
              </w:rPr>
            </w:pPr>
            <w:r w:rsidRPr="00F360A5">
              <w:rPr>
                <w:rFonts w:ascii="Verdana" w:eastAsia="Times New Roman" w:hAnsi="Verdana" w:cs="Times New Roman"/>
                <w:color w:val="333333"/>
                <w:spacing w:val="2"/>
                <w:sz w:val="20"/>
                <w:szCs w:val="20"/>
                <w:lang w:eastAsia="ru-RU"/>
              </w:rPr>
              <w:t>Уменьшение размера или прежний размер</w:t>
            </w:r>
          </w:p>
        </w:tc>
        <w:tc>
          <w:tcPr>
            <w:tcW w:w="0" w:type="auto"/>
            <w:tcBorders>
              <w:top w:val="single" w:sz="6" w:space="0" w:color="E7E6E3"/>
              <w:left w:val="single" w:sz="6" w:space="0" w:color="E7E6E3"/>
              <w:bottom w:val="single" w:sz="6" w:space="0" w:color="E7E6E3"/>
              <w:right w:val="single" w:sz="6" w:space="0" w:color="E7E6E3"/>
            </w:tcBorders>
            <w:shd w:val="clear" w:color="auto" w:fill="FFFFFF"/>
            <w:tcMar>
              <w:top w:w="90" w:type="dxa"/>
              <w:left w:w="180" w:type="dxa"/>
              <w:bottom w:w="105" w:type="dxa"/>
              <w:right w:w="180" w:type="dxa"/>
            </w:tcMar>
            <w:hideMark/>
          </w:tcPr>
          <w:p w:rsidR="00F360A5" w:rsidRPr="00F360A5" w:rsidRDefault="00F360A5" w:rsidP="00F360A5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pacing w:val="2"/>
                <w:sz w:val="20"/>
                <w:szCs w:val="20"/>
                <w:lang w:eastAsia="ru-RU"/>
              </w:rPr>
            </w:pPr>
            <w:r w:rsidRPr="00F360A5">
              <w:rPr>
                <w:rFonts w:ascii="Verdana" w:eastAsia="Times New Roman" w:hAnsi="Verdana" w:cs="Times New Roman"/>
                <w:color w:val="333333"/>
                <w:spacing w:val="2"/>
                <w:sz w:val="20"/>
                <w:szCs w:val="20"/>
                <w:lang w:eastAsia="ru-RU"/>
              </w:rPr>
              <w:t>Увеличение размера на 2-5 мм, если предыдущий результат был положительным</w:t>
            </w:r>
          </w:p>
        </w:tc>
        <w:tc>
          <w:tcPr>
            <w:tcW w:w="0" w:type="auto"/>
            <w:tcBorders>
              <w:top w:val="single" w:sz="6" w:space="0" w:color="E7E6E3"/>
              <w:left w:val="single" w:sz="6" w:space="0" w:color="E7E6E3"/>
              <w:bottom w:val="single" w:sz="6" w:space="0" w:color="E7E6E3"/>
              <w:right w:val="single" w:sz="6" w:space="0" w:color="E7E6E3"/>
            </w:tcBorders>
            <w:shd w:val="clear" w:color="auto" w:fill="FFFFFF"/>
            <w:tcMar>
              <w:top w:w="90" w:type="dxa"/>
              <w:left w:w="180" w:type="dxa"/>
              <w:bottom w:w="105" w:type="dxa"/>
              <w:right w:w="180" w:type="dxa"/>
            </w:tcMar>
            <w:hideMark/>
          </w:tcPr>
          <w:p w:rsidR="00F360A5" w:rsidRPr="00F360A5" w:rsidRDefault="00F360A5" w:rsidP="00F360A5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pacing w:val="2"/>
                <w:sz w:val="20"/>
                <w:szCs w:val="20"/>
                <w:lang w:eastAsia="ru-RU"/>
              </w:rPr>
            </w:pPr>
            <w:r w:rsidRPr="00F360A5">
              <w:rPr>
                <w:rFonts w:ascii="Verdana" w:eastAsia="Times New Roman" w:hAnsi="Verdana" w:cs="Times New Roman"/>
                <w:color w:val="333333"/>
                <w:spacing w:val="2"/>
                <w:sz w:val="20"/>
                <w:szCs w:val="20"/>
                <w:lang w:eastAsia="ru-RU"/>
              </w:rPr>
              <w:t xml:space="preserve">Изменение на </w:t>
            </w:r>
            <w:proofErr w:type="gramStart"/>
            <w:r w:rsidRPr="00F360A5">
              <w:rPr>
                <w:rFonts w:ascii="Verdana" w:eastAsia="Times New Roman" w:hAnsi="Verdana" w:cs="Times New Roman"/>
                <w:color w:val="333333"/>
                <w:spacing w:val="2"/>
                <w:sz w:val="20"/>
                <w:szCs w:val="20"/>
                <w:lang w:eastAsia="ru-RU"/>
              </w:rPr>
              <w:t>положительную</w:t>
            </w:r>
            <w:proofErr w:type="gramEnd"/>
            <w:r w:rsidRPr="00F360A5">
              <w:rPr>
                <w:rFonts w:ascii="Verdana" w:eastAsia="Times New Roman" w:hAnsi="Verdana" w:cs="Times New Roman"/>
                <w:color w:val="333333"/>
                <w:spacing w:val="2"/>
                <w:sz w:val="20"/>
                <w:szCs w:val="20"/>
                <w:lang w:eastAsia="ru-RU"/>
              </w:rPr>
              <w:t xml:space="preserve"> или увеличение на 6 мм</w:t>
            </w:r>
          </w:p>
        </w:tc>
      </w:tr>
    </w:tbl>
    <w:p w:rsidR="00F360A5" w:rsidRPr="00F360A5" w:rsidRDefault="00F360A5" w:rsidP="00F360A5">
      <w:pPr>
        <w:shd w:val="clear" w:color="auto" w:fill="FFFFFF"/>
        <w:spacing w:after="0" w:line="270" w:lineRule="atLeast"/>
        <w:rPr>
          <w:rFonts w:ascii="Verdana" w:eastAsia="Times New Roman" w:hAnsi="Verdana" w:cs="Times New Roman"/>
          <w:color w:val="333333"/>
          <w:spacing w:val="2"/>
          <w:sz w:val="20"/>
          <w:szCs w:val="20"/>
          <w:lang w:eastAsia="ru-RU"/>
        </w:rPr>
      </w:pPr>
      <w:r w:rsidRPr="00F360A5">
        <w:rPr>
          <w:rFonts w:ascii="Verdana" w:eastAsia="Times New Roman" w:hAnsi="Verdana" w:cs="Times New Roman"/>
          <w:color w:val="333333"/>
          <w:spacing w:val="2"/>
          <w:sz w:val="20"/>
          <w:szCs w:val="20"/>
          <w:lang w:eastAsia="ru-RU"/>
        </w:rPr>
        <w:t> </w:t>
      </w:r>
    </w:p>
    <w:p w:rsidR="00F360A5" w:rsidRPr="00F360A5" w:rsidRDefault="00F360A5" w:rsidP="00F360A5">
      <w:pPr>
        <w:shd w:val="clear" w:color="auto" w:fill="FFFFFF"/>
        <w:spacing w:after="0" w:line="270" w:lineRule="atLeast"/>
        <w:jc w:val="both"/>
        <w:rPr>
          <w:rFonts w:ascii="Verdana" w:eastAsia="Times New Roman" w:hAnsi="Verdana" w:cs="Times New Roman"/>
          <w:color w:val="333333"/>
          <w:spacing w:val="2"/>
          <w:sz w:val="20"/>
          <w:szCs w:val="20"/>
          <w:lang w:eastAsia="ru-RU"/>
        </w:rPr>
      </w:pPr>
      <w:proofErr w:type="gramStart"/>
      <w:r w:rsidRPr="00F360A5">
        <w:rPr>
          <w:rFonts w:ascii="Verdana" w:eastAsia="Times New Roman" w:hAnsi="Verdana" w:cs="Times New Roman"/>
          <w:b/>
          <w:bCs/>
          <w:color w:val="333333"/>
          <w:spacing w:val="2"/>
          <w:sz w:val="20"/>
          <w:szCs w:val="20"/>
          <w:lang w:eastAsia="ru-RU"/>
        </w:rPr>
        <w:t>«Вираж» пробы Манту</w:t>
      </w:r>
      <w:r w:rsidRPr="00F360A5">
        <w:rPr>
          <w:rFonts w:ascii="Verdana" w:eastAsia="Times New Roman" w:hAnsi="Verdana" w:cs="Times New Roman"/>
          <w:color w:val="333333"/>
          <w:spacing w:val="2"/>
          <w:sz w:val="20"/>
          <w:szCs w:val="20"/>
          <w:lang w:eastAsia="ru-RU"/>
        </w:rPr>
        <w:t> – изменение (увеличение) результата пробы диаметра папулы) по сравнению с прошлогодним результатом.</w:t>
      </w:r>
      <w:proofErr w:type="gramEnd"/>
      <w:r w:rsidRPr="00F360A5">
        <w:rPr>
          <w:rFonts w:ascii="Verdana" w:eastAsia="Times New Roman" w:hAnsi="Verdana" w:cs="Times New Roman"/>
          <w:color w:val="333333"/>
          <w:spacing w:val="2"/>
          <w:sz w:val="20"/>
          <w:szCs w:val="20"/>
          <w:lang w:eastAsia="ru-RU"/>
        </w:rPr>
        <w:t xml:space="preserve"> Является очень ценным диагностическим признаком. Критериями виража являются:</w:t>
      </w:r>
    </w:p>
    <w:p w:rsidR="00F360A5" w:rsidRPr="00F360A5" w:rsidRDefault="00F360A5" w:rsidP="00F360A5">
      <w:pPr>
        <w:numPr>
          <w:ilvl w:val="0"/>
          <w:numId w:val="4"/>
        </w:numPr>
        <w:shd w:val="clear" w:color="auto" w:fill="FFFFFF"/>
        <w:spacing w:after="0" w:line="234" w:lineRule="atLeast"/>
        <w:ind w:left="0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F360A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появление впервые положительной реакции (папула 5 мм и более) после ранее отрицательной или сомнительной;</w:t>
      </w:r>
    </w:p>
    <w:p w:rsidR="00F360A5" w:rsidRPr="00F360A5" w:rsidRDefault="00F360A5" w:rsidP="00F360A5">
      <w:pPr>
        <w:numPr>
          <w:ilvl w:val="0"/>
          <w:numId w:val="4"/>
        </w:numPr>
        <w:shd w:val="clear" w:color="auto" w:fill="FFFFFF"/>
        <w:spacing w:after="0" w:line="234" w:lineRule="atLeast"/>
        <w:ind w:left="0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F360A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усиление предыдущей реакции на 6 мм и более;</w:t>
      </w:r>
    </w:p>
    <w:p w:rsidR="00F360A5" w:rsidRPr="00F360A5" w:rsidRDefault="00F360A5" w:rsidP="00F360A5">
      <w:pPr>
        <w:numPr>
          <w:ilvl w:val="0"/>
          <w:numId w:val="4"/>
        </w:numPr>
        <w:shd w:val="clear" w:color="auto" w:fill="FFFFFF"/>
        <w:spacing w:after="0" w:line="234" w:lineRule="atLeast"/>
        <w:ind w:left="0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proofErr w:type="spellStart"/>
      <w:r w:rsidRPr="00F360A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гиперергическая</w:t>
      </w:r>
      <w:proofErr w:type="spellEnd"/>
      <w:r w:rsidRPr="00F360A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реакция (более 17 мм) независимо от давности вакцинации;</w:t>
      </w:r>
    </w:p>
    <w:p w:rsidR="00F360A5" w:rsidRPr="00F360A5" w:rsidRDefault="00F360A5" w:rsidP="00F360A5">
      <w:pPr>
        <w:numPr>
          <w:ilvl w:val="0"/>
          <w:numId w:val="4"/>
        </w:numPr>
        <w:shd w:val="clear" w:color="auto" w:fill="FFFFFF"/>
        <w:spacing w:after="0" w:line="234" w:lineRule="atLeast"/>
        <w:ind w:left="0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F360A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реакция более 12 мм спустя 3-4 года после вакцинации БЦЖ.</w:t>
      </w:r>
    </w:p>
    <w:p w:rsidR="00F360A5" w:rsidRPr="00F360A5" w:rsidRDefault="00F360A5" w:rsidP="00F360A5">
      <w:pPr>
        <w:shd w:val="clear" w:color="auto" w:fill="FFFFFF"/>
        <w:spacing w:after="0" w:line="270" w:lineRule="atLeast"/>
        <w:jc w:val="both"/>
        <w:rPr>
          <w:rFonts w:ascii="Verdana" w:eastAsia="Times New Roman" w:hAnsi="Verdana" w:cs="Times New Roman"/>
          <w:color w:val="333333"/>
          <w:spacing w:val="2"/>
          <w:sz w:val="20"/>
          <w:szCs w:val="20"/>
          <w:lang w:eastAsia="ru-RU"/>
        </w:rPr>
      </w:pPr>
      <w:r w:rsidRPr="00F360A5">
        <w:rPr>
          <w:rFonts w:ascii="Verdana" w:eastAsia="Times New Roman" w:hAnsi="Verdana" w:cs="Times New Roman"/>
          <w:color w:val="333333"/>
          <w:spacing w:val="2"/>
          <w:sz w:val="20"/>
          <w:szCs w:val="20"/>
          <w:lang w:eastAsia="ru-RU"/>
        </w:rPr>
        <w:t>Именно вираж заставляет врача думать о произошедшем в течение последнего года инфицировании. Например, если результат пробы за последние три года выглядел как 12, 12, 12, а на четвертый год был получен результат 17 мм, то с большой долей вероятности можно говорить о произошедшем инфицировании. Естественно, что при этом надо исключить все влияющие факторы – аллергию к компонентам туберкулина</w:t>
      </w:r>
      <w:r w:rsidRPr="00F360A5">
        <w:rPr>
          <w:rFonts w:ascii="Verdana" w:eastAsia="Times New Roman" w:hAnsi="Verdana" w:cs="Times New Roman"/>
          <w:b/>
          <w:bCs/>
          <w:color w:val="333333"/>
          <w:spacing w:val="2"/>
          <w:sz w:val="20"/>
          <w:szCs w:val="20"/>
          <w:lang w:eastAsia="ru-RU"/>
        </w:rPr>
        <w:t>, </w:t>
      </w:r>
      <w:r w:rsidRPr="00F360A5">
        <w:rPr>
          <w:rFonts w:ascii="Verdana" w:eastAsia="Times New Roman" w:hAnsi="Verdana" w:cs="Times New Roman"/>
          <w:color w:val="333333"/>
          <w:spacing w:val="2"/>
          <w:sz w:val="20"/>
          <w:szCs w:val="20"/>
          <w:lang w:eastAsia="ru-RU"/>
        </w:rPr>
        <w:t>аллергию на другие вещества, недавно перенесенную инфекцию, факт недавней вакцинации БЦЖ или другой вакциной менее 1 мес. назад, и т.п.</w:t>
      </w:r>
    </w:p>
    <w:p w:rsidR="00F360A5" w:rsidRPr="00F360A5" w:rsidRDefault="00F360A5" w:rsidP="00F360A5">
      <w:pPr>
        <w:shd w:val="clear" w:color="auto" w:fill="FFFFFF"/>
        <w:spacing w:after="0" w:line="270" w:lineRule="atLeast"/>
        <w:jc w:val="both"/>
        <w:rPr>
          <w:rFonts w:ascii="Verdana" w:eastAsia="Times New Roman" w:hAnsi="Verdana" w:cs="Times New Roman"/>
          <w:color w:val="333333"/>
          <w:spacing w:val="2"/>
          <w:sz w:val="20"/>
          <w:szCs w:val="20"/>
          <w:lang w:eastAsia="ru-RU"/>
        </w:rPr>
      </w:pPr>
      <w:r w:rsidRPr="00F360A5">
        <w:rPr>
          <w:rFonts w:ascii="Verdana" w:eastAsia="Times New Roman" w:hAnsi="Verdana" w:cs="Times New Roman"/>
          <w:b/>
          <w:bCs/>
          <w:color w:val="333333"/>
          <w:spacing w:val="2"/>
          <w:sz w:val="20"/>
          <w:szCs w:val="20"/>
          <w:lang w:eastAsia="ru-RU"/>
        </w:rPr>
        <w:t>«</w:t>
      </w:r>
      <w:proofErr w:type="spellStart"/>
      <w:r w:rsidRPr="00F360A5">
        <w:rPr>
          <w:rFonts w:ascii="Verdana" w:eastAsia="Times New Roman" w:hAnsi="Verdana" w:cs="Times New Roman"/>
          <w:b/>
          <w:bCs/>
          <w:color w:val="333333"/>
          <w:spacing w:val="2"/>
          <w:sz w:val="20"/>
          <w:szCs w:val="20"/>
          <w:lang w:eastAsia="ru-RU"/>
        </w:rPr>
        <w:t>Бустерный</w:t>
      </w:r>
      <w:proofErr w:type="spellEnd"/>
      <w:r w:rsidRPr="00F360A5">
        <w:rPr>
          <w:rFonts w:ascii="Verdana" w:eastAsia="Times New Roman" w:hAnsi="Verdana" w:cs="Times New Roman"/>
          <w:b/>
          <w:bCs/>
          <w:color w:val="333333"/>
          <w:spacing w:val="2"/>
          <w:sz w:val="20"/>
          <w:szCs w:val="20"/>
          <w:lang w:eastAsia="ru-RU"/>
        </w:rPr>
        <w:t>» эффект пробы Манту</w:t>
      </w:r>
      <w:r w:rsidRPr="00F360A5">
        <w:rPr>
          <w:rFonts w:ascii="Verdana" w:eastAsia="Times New Roman" w:hAnsi="Verdana" w:cs="Times New Roman"/>
          <w:color w:val="333333"/>
          <w:spacing w:val="2"/>
          <w:sz w:val="20"/>
          <w:szCs w:val="20"/>
          <w:lang w:eastAsia="ru-RU"/>
        </w:rPr>
        <w:t> – эффект усиления (</w:t>
      </w:r>
      <w:proofErr w:type="spellStart"/>
      <w:r w:rsidRPr="00F360A5">
        <w:rPr>
          <w:rFonts w:ascii="Verdana" w:eastAsia="Times New Roman" w:hAnsi="Verdana" w:cs="Times New Roman"/>
          <w:color w:val="333333"/>
          <w:spacing w:val="2"/>
          <w:sz w:val="20"/>
          <w:szCs w:val="20"/>
          <w:lang w:eastAsia="ru-RU"/>
        </w:rPr>
        <w:t>boost</w:t>
      </w:r>
      <w:proofErr w:type="spellEnd"/>
      <w:r w:rsidRPr="00F360A5">
        <w:rPr>
          <w:rFonts w:ascii="Verdana" w:eastAsia="Times New Roman" w:hAnsi="Verdana" w:cs="Times New Roman"/>
          <w:color w:val="333333"/>
          <w:spacing w:val="2"/>
          <w:sz w:val="20"/>
          <w:szCs w:val="20"/>
          <w:lang w:eastAsia="ru-RU"/>
        </w:rPr>
        <w:t xml:space="preserve"> (англ.) – усиление), т.е. увеличения диаметра папулы при частой (чаще чем раз в год) постановке пробы. Несмотря на то, что туберкулин не является полноценным антигеном и не может вызывать формирование иммунитета, эффект по всей видимости связан с увеличением чувствительности лимфоцитов к туберкулину. </w:t>
      </w:r>
      <w:proofErr w:type="spellStart"/>
      <w:r w:rsidRPr="00F360A5">
        <w:rPr>
          <w:rFonts w:ascii="Verdana" w:eastAsia="Times New Roman" w:hAnsi="Verdana" w:cs="Times New Roman"/>
          <w:color w:val="333333"/>
          <w:spacing w:val="2"/>
          <w:sz w:val="20"/>
          <w:szCs w:val="20"/>
          <w:lang w:eastAsia="ru-RU"/>
        </w:rPr>
        <w:t>Бустерный</w:t>
      </w:r>
      <w:proofErr w:type="spellEnd"/>
      <w:r w:rsidRPr="00F360A5">
        <w:rPr>
          <w:rFonts w:ascii="Verdana" w:eastAsia="Times New Roman" w:hAnsi="Verdana" w:cs="Times New Roman"/>
          <w:color w:val="333333"/>
          <w:spacing w:val="2"/>
          <w:sz w:val="20"/>
          <w:szCs w:val="20"/>
          <w:lang w:eastAsia="ru-RU"/>
        </w:rPr>
        <w:t xml:space="preserve"> эффект имеет и обратную сторону – лица, инфицированные туберкулезной палочкой, с годами теряют способность реагировать на туберкулин и в конце концов результат пробы становится ложноотрицательным. </w:t>
      </w:r>
      <w:proofErr w:type="spellStart"/>
      <w:r w:rsidRPr="00F360A5">
        <w:rPr>
          <w:rFonts w:ascii="Verdana" w:eastAsia="Times New Roman" w:hAnsi="Verdana" w:cs="Times New Roman"/>
          <w:color w:val="333333"/>
          <w:spacing w:val="2"/>
          <w:sz w:val="20"/>
          <w:szCs w:val="20"/>
          <w:lang w:eastAsia="ru-RU"/>
        </w:rPr>
        <w:t>Бустерный</w:t>
      </w:r>
      <w:proofErr w:type="spellEnd"/>
      <w:r w:rsidRPr="00F360A5">
        <w:rPr>
          <w:rFonts w:ascii="Verdana" w:eastAsia="Times New Roman" w:hAnsi="Verdana" w:cs="Times New Roman"/>
          <w:color w:val="333333"/>
          <w:spacing w:val="2"/>
          <w:sz w:val="20"/>
          <w:szCs w:val="20"/>
          <w:lang w:eastAsia="ru-RU"/>
        </w:rPr>
        <w:t xml:space="preserve"> эффект (в обоих его проявлениях) встречается у подростков и взрослых, что, видимо, обусловлено более высокой степенью развития иммунной системы. У детей этот эффект выражен меньше, однако постановка пробы Манту чаще, чем один раз в год без явной необходимости не является желательной. Исключением из этого является необходимость в повторной пробе Манту (в сомнительных и критичных случаях), которая, согласно российским нормативным документам, проводится через 3 мес. от первой.</w:t>
      </w:r>
    </w:p>
    <w:p w:rsidR="00F360A5" w:rsidRPr="00F360A5" w:rsidRDefault="00F360A5" w:rsidP="00F360A5">
      <w:pPr>
        <w:shd w:val="clear" w:color="auto" w:fill="FFFFFF"/>
        <w:spacing w:after="0" w:line="270" w:lineRule="atLeast"/>
        <w:jc w:val="both"/>
        <w:rPr>
          <w:rFonts w:ascii="Verdana" w:eastAsia="Times New Roman" w:hAnsi="Verdana" w:cs="Times New Roman"/>
          <w:color w:val="333333"/>
          <w:spacing w:val="2"/>
          <w:sz w:val="20"/>
          <w:szCs w:val="20"/>
          <w:lang w:eastAsia="ru-RU"/>
        </w:rPr>
      </w:pPr>
      <w:r w:rsidRPr="00F360A5">
        <w:rPr>
          <w:rFonts w:ascii="Verdana" w:eastAsia="Times New Roman" w:hAnsi="Verdana" w:cs="Times New Roman"/>
          <w:color w:val="333333"/>
          <w:spacing w:val="2"/>
          <w:sz w:val="20"/>
          <w:szCs w:val="20"/>
          <w:lang w:eastAsia="ru-RU"/>
        </w:rPr>
        <w:t xml:space="preserve">Для исключения </w:t>
      </w:r>
      <w:proofErr w:type="spellStart"/>
      <w:r w:rsidRPr="00F360A5">
        <w:rPr>
          <w:rFonts w:ascii="Verdana" w:eastAsia="Times New Roman" w:hAnsi="Verdana" w:cs="Times New Roman"/>
          <w:color w:val="333333"/>
          <w:spacing w:val="2"/>
          <w:sz w:val="20"/>
          <w:szCs w:val="20"/>
          <w:lang w:eastAsia="ru-RU"/>
        </w:rPr>
        <w:t>бустерного</w:t>
      </w:r>
      <w:proofErr w:type="spellEnd"/>
      <w:r w:rsidRPr="00F360A5">
        <w:rPr>
          <w:rFonts w:ascii="Verdana" w:eastAsia="Times New Roman" w:hAnsi="Verdana" w:cs="Times New Roman"/>
          <w:color w:val="333333"/>
          <w:spacing w:val="2"/>
          <w:sz w:val="20"/>
          <w:szCs w:val="20"/>
          <w:lang w:eastAsia="ru-RU"/>
        </w:rPr>
        <w:t xml:space="preserve"> эффекта у инфицированных микобактерией (при наличии явных факторов риска инфицирования и отсутствии реакции на пробу Манту) в США рекомендуют проводить повторную постановку пробы через 1-3 недели. У </w:t>
      </w:r>
      <w:proofErr w:type="spellStart"/>
      <w:r w:rsidRPr="00F360A5">
        <w:rPr>
          <w:rFonts w:ascii="Verdana" w:eastAsia="Times New Roman" w:hAnsi="Verdana" w:cs="Times New Roman"/>
          <w:color w:val="333333"/>
          <w:spacing w:val="2"/>
          <w:sz w:val="20"/>
          <w:szCs w:val="20"/>
          <w:lang w:eastAsia="ru-RU"/>
        </w:rPr>
        <w:t>тубинфицированных</w:t>
      </w:r>
      <w:proofErr w:type="spellEnd"/>
      <w:r w:rsidRPr="00F360A5">
        <w:rPr>
          <w:rFonts w:ascii="Verdana" w:eastAsia="Times New Roman" w:hAnsi="Verdana" w:cs="Times New Roman"/>
          <w:color w:val="333333"/>
          <w:spacing w:val="2"/>
          <w:sz w:val="20"/>
          <w:szCs w:val="20"/>
          <w:lang w:eastAsia="ru-RU"/>
        </w:rPr>
        <w:t xml:space="preserve"> реакция становится резко положительной, организм как бы «вспоминает» о своей чувствительности к туберкулину.</w:t>
      </w:r>
    </w:p>
    <w:p w:rsidR="00F360A5" w:rsidRPr="00F360A5" w:rsidRDefault="00F360A5" w:rsidP="00F360A5">
      <w:pPr>
        <w:shd w:val="clear" w:color="auto" w:fill="FFFFFF"/>
        <w:spacing w:after="0" w:line="270" w:lineRule="atLeast"/>
        <w:rPr>
          <w:rFonts w:ascii="Verdana" w:eastAsia="Times New Roman" w:hAnsi="Verdana" w:cs="Times New Roman"/>
          <w:color w:val="333333"/>
          <w:spacing w:val="2"/>
          <w:sz w:val="20"/>
          <w:szCs w:val="20"/>
          <w:lang w:eastAsia="ru-RU"/>
        </w:rPr>
      </w:pPr>
      <w:r w:rsidRPr="00F360A5">
        <w:rPr>
          <w:rFonts w:ascii="Verdana" w:eastAsia="Times New Roman" w:hAnsi="Verdana" w:cs="Times New Roman"/>
          <w:color w:val="333333"/>
          <w:spacing w:val="2"/>
          <w:sz w:val="20"/>
          <w:szCs w:val="20"/>
          <w:lang w:eastAsia="ru-RU"/>
        </w:rPr>
        <w:t> </w:t>
      </w:r>
    </w:p>
    <w:p w:rsidR="00F360A5" w:rsidRPr="00F360A5" w:rsidRDefault="00F360A5" w:rsidP="00F360A5">
      <w:pPr>
        <w:shd w:val="clear" w:color="auto" w:fill="FFFFFF"/>
        <w:spacing w:after="0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7DBE37"/>
          <w:sz w:val="33"/>
          <w:szCs w:val="33"/>
          <w:lang w:eastAsia="ru-RU"/>
        </w:rPr>
      </w:pPr>
      <w:r w:rsidRPr="00F360A5">
        <w:rPr>
          <w:rFonts w:ascii="Verdana" w:eastAsia="Times New Roman" w:hAnsi="Verdana" w:cs="Times New Roman"/>
          <w:b/>
          <w:bCs/>
          <w:color w:val="7DBE37"/>
          <w:sz w:val="33"/>
          <w:szCs w:val="33"/>
          <w:lang w:eastAsia="ru-RU"/>
        </w:rPr>
        <w:t>Если ставят на учет и назначают профилактическое лечение</w:t>
      </w:r>
    </w:p>
    <w:p w:rsidR="00F360A5" w:rsidRPr="00F360A5" w:rsidRDefault="00F360A5" w:rsidP="00F360A5">
      <w:pPr>
        <w:shd w:val="clear" w:color="auto" w:fill="FFFFFF"/>
        <w:spacing w:after="0" w:line="270" w:lineRule="atLeast"/>
        <w:jc w:val="both"/>
        <w:rPr>
          <w:rFonts w:ascii="Verdana" w:eastAsia="Times New Roman" w:hAnsi="Verdana" w:cs="Times New Roman"/>
          <w:color w:val="333333"/>
          <w:spacing w:val="2"/>
          <w:sz w:val="20"/>
          <w:szCs w:val="20"/>
          <w:lang w:eastAsia="ru-RU"/>
        </w:rPr>
      </w:pPr>
      <w:r w:rsidRPr="00F360A5">
        <w:rPr>
          <w:rFonts w:ascii="Verdana" w:eastAsia="Times New Roman" w:hAnsi="Verdana" w:cs="Times New Roman"/>
          <w:color w:val="333333"/>
          <w:spacing w:val="2"/>
          <w:sz w:val="20"/>
          <w:szCs w:val="20"/>
          <w:lang w:eastAsia="ru-RU"/>
        </w:rPr>
        <w:t xml:space="preserve">Дети и подростки с впервые выявленным инфицированием туберкулезом обладают повышенным риском развития клинически выраженного туберкулеза - считается, что у 7-10% таких детей может развиться первичный туберкулез со всей присущей симптоматикой. Поэтому такие дети подлежат наблюдению в противотуберкулезном диспансере в течение года. В течение трех месяцев проводится </w:t>
      </w:r>
      <w:proofErr w:type="spellStart"/>
      <w:r w:rsidRPr="00F360A5">
        <w:rPr>
          <w:rFonts w:ascii="Verdana" w:eastAsia="Times New Roman" w:hAnsi="Verdana" w:cs="Times New Roman"/>
          <w:color w:val="333333"/>
          <w:spacing w:val="2"/>
          <w:sz w:val="20"/>
          <w:szCs w:val="20"/>
          <w:lang w:eastAsia="ru-RU"/>
        </w:rPr>
        <w:t>химиопрофилактика</w:t>
      </w:r>
      <w:proofErr w:type="spellEnd"/>
      <w:r w:rsidRPr="00F360A5">
        <w:rPr>
          <w:rFonts w:ascii="Verdana" w:eastAsia="Times New Roman" w:hAnsi="Verdana" w:cs="Times New Roman"/>
          <w:color w:val="333333"/>
          <w:spacing w:val="2"/>
          <w:sz w:val="20"/>
          <w:szCs w:val="20"/>
          <w:lang w:eastAsia="ru-RU"/>
        </w:rPr>
        <w:t xml:space="preserve"> </w:t>
      </w:r>
      <w:proofErr w:type="spellStart"/>
      <w:r w:rsidRPr="00F360A5">
        <w:rPr>
          <w:rFonts w:ascii="Verdana" w:eastAsia="Times New Roman" w:hAnsi="Verdana" w:cs="Times New Roman"/>
          <w:color w:val="333333"/>
          <w:spacing w:val="2"/>
          <w:sz w:val="20"/>
          <w:szCs w:val="20"/>
          <w:lang w:eastAsia="ru-RU"/>
        </w:rPr>
        <w:t>изониазидом</w:t>
      </w:r>
      <w:proofErr w:type="spellEnd"/>
      <w:r w:rsidRPr="00F360A5">
        <w:rPr>
          <w:rFonts w:ascii="Verdana" w:eastAsia="Times New Roman" w:hAnsi="Verdana" w:cs="Times New Roman"/>
          <w:color w:val="333333"/>
          <w:spacing w:val="2"/>
          <w:sz w:val="20"/>
          <w:szCs w:val="20"/>
          <w:lang w:eastAsia="ru-RU"/>
        </w:rPr>
        <w:t>. По окончанию этого периода ребенок передается под наблюдение участкового педиатра как «инфицированный более одного года».</w:t>
      </w:r>
    </w:p>
    <w:p w:rsidR="00F360A5" w:rsidRPr="00F360A5" w:rsidRDefault="00F360A5" w:rsidP="00F360A5">
      <w:pPr>
        <w:shd w:val="clear" w:color="auto" w:fill="FFFFFF"/>
        <w:spacing w:after="0" w:line="270" w:lineRule="atLeast"/>
        <w:jc w:val="both"/>
        <w:rPr>
          <w:rFonts w:ascii="Verdana" w:eastAsia="Times New Roman" w:hAnsi="Verdana" w:cs="Times New Roman"/>
          <w:color w:val="333333"/>
          <w:spacing w:val="2"/>
          <w:sz w:val="20"/>
          <w:szCs w:val="20"/>
          <w:lang w:eastAsia="ru-RU"/>
        </w:rPr>
      </w:pPr>
      <w:r w:rsidRPr="00F360A5">
        <w:rPr>
          <w:rFonts w:ascii="Verdana" w:eastAsia="Times New Roman" w:hAnsi="Verdana" w:cs="Times New Roman"/>
          <w:color w:val="333333"/>
          <w:spacing w:val="2"/>
          <w:sz w:val="20"/>
          <w:szCs w:val="20"/>
          <w:lang w:eastAsia="ru-RU"/>
        </w:rPr>
        <w:lastRenderedPageBreak/>
        <w:t xml:space="preserve">Если у такого ребенка спустя год не выявляется признаков усиления чувствительности к туберкулину и </w:t>
      </w:r>
      <w:proofErr w:type="spellStart"/>
      <w:r w:rsidRPr="00F360A5">
        <w:rPr>
          <w:rFonts w:ascii="Verdana" w:eastAsia="Times New Roman" w:hAnsi="Verdana" w:cs="Times New Roman"/>
          <w:color w:val="333333"/>
          <w:spacing w:val="2"/>
          <w:sz w:val="20"/>
          <w:szCs w:val="20"/>
          <w:lang w:eastAsia="ru-RU"/>
        </w:rPr>
        <w:t>гиперергической</w:t>
      </w:r>
      <w:proofErr w:type="spellEnd"/>
      <w:r w:rsidRPr="00F360A5">
        <w:rPr>
          <w:rFonts w:ascii="Verdana" w:eastAsia="Times New Roman" w:hAnsi="Verdana" w:cs="Times New Roman"/>
          <w:color w:val="333333"/>
          <w:spacing w:val="2"/>
          <w:sz w:val="20"/>
          <w:szCs w:val="20"/>
          <w:lang w:eastAsia="ru-RU"/>
        </w:rPr>
        <w:t xml:space="preserve"> реакции, то он наблюдается педиатром на «общих основаниях». У таких детей тщательно отслеживается результат ежегодной пробы Манту. Усиление у таких детей реакции на 6 мм и более говорит об активации инфекции.</w:t>
      </w:r>
    </w:p>
    <w:p w:rsidR="00F360A5" w:rsidRPr="00F360A5" w:rsidRDefault="00F360A5" w:rsidP="00F360A5">
      <w:pPr>
        <w:shd w:val="clear" w:color="auto" w:fill="FFFFFF"/>
        <w:spacing w:after="0" w:line="270" w:lineRule="atLeast"/>
        <w:jc w:val="both"/>
        <w:rPr>
          <w:rFonts w:ascii="Verdana" w:eastAsia="Times New Roman" w:hAnsi="Verdana" w:cs="Times New Roman"/>
          <w:color w:val="333333"/>
          <w:spacing w:val="2"/>
          <w:sz w:val="20"/>
          <w:szCs w:val="20"/>
          <w:lang w:eastAsia="ru-RU"/>
        </w:rPr>
      </w:pPr>
      <w:r w:rsidRPr="00F360A5">
        <w:rPr>
          <w:rFonts w:ascii="Verdana" w:eastAsia="Times New Roman" w:hAnsi="Verdana" w:cs="Times New Roman"/>
          <w:color w:val="333333"/>
          <w:spacing w:val="2"/>
          <w:sz w:val="20"/>
          <w:szCs w:val="20"/>
          <w:lang w:eastAsia="ru-RU"/>
        </w:rPr>
        <w:t xml:space="preserve">Инфицированные более одного года с </w:t>
      </w:r>
      <w:proofErr w:type="spellStart"/>
      <w:r w:rsidRPr="00F360A5">
        <w:rPr>
          <w:rFonts w:ascii="Verdana" w:eastAsia="Times New Roman" w:hAnsi="Verdana" w:cs="Times New Roman"/>
          <w:color w:val="333333"/>
          <w:spacing w:val="2"/>
          <w:sz w:val="20"/>
          <w:szCs w:val="20"/>
          <w:lang w:eastAsia="ru-RU"/>
        </w:rPr>
        <w:t>гиперергической</w:t>
      </w:r>
      <w:proofErr w:type="spellEnd"/>
      <w:r w:rsidRPr="00F360A5">
        <w:rPr>
          <w:rFonts w:ascii="Verdana" w:eastAsia="Times New Roman" w:hAnsi="Verdana" w:cs="Times New Roman"/>
          <w:color w:val="333333"/>
          <w:spacing w:val="2"/>
          <w:sz w:val="20"/>
          <w:szCs w:val="20"/>
          <w:lang w:eastAsia="ru-RU"/>
        </w:rPr>
        <w:t xml:space="preserve"> реакцией на туберкулин и увеличением реакции на 6 мм и более наблюдаются в тубдиспансере. Проводится </w:t>
      </w:r>
      <w:proofErr w:type="spellStart"/>
      <w:r w:rsidRPr="00F360A5">
        <w:rPr>
          <w:rFonts w:ascii="Verdana" w:eastAsia="Times New Roman" w:hAnsi="Verdana" w:cs="Times New Roman"/>
          <w:color w:val="333333"/>
          <w:spacing w:val="2"/>
          <w:sz w:val="20"/>
          <w:szCs w:val="20"/>
          <w:lang w:eastAsia="ru-RU"/>
        </w:rPr>
        <w:t>химиопрофилактика</w:t>
      </w:r>
      <w:proofErr w:type="spellEnd"/>
      <w:r w:rsidRPr="00F360A5">
        <w:rPr>
          <w:rFonts w:ascii="Verdana" w:eastAsia="Times New Roman" w:hAnsi="Verdana" w:cs="Times New Roman"/>
          <w:color w:val="333333"/>
          <w:spacing w:val="2"/>
          <w:sz w:val="20"/>
          <w:szCs w:val="20"/>
          <w:lang w:eastAsia="ru-RU"/>
        </w:rPr>
        <w:t xml:space="preserve"> в течение 3 месяцев.</w:t>
      </w:r>
    </w:p>
    <w:p w:rsidR="00F360A5" w:rsidRPr="00F360A5" w:rsidRDefault="00F360A5" w:rsidP="00F360A5">
      <w:pPr>
        <w:shd w:val="clear" w:color="auto" w:fill="FFFFFF"/>
        <w:spacing w:after="0" w:line="270" w:lineRule="atLeast"/>
        <w:jc w:val="both"/>
        <w:rPr>
          <w:rFonts w:ascii="Verdana" w:eastAsia="Times New Roman" w:hAnsi="Verdana" w:cs="Times New Roman"/>
          <w:color w:val="333333"/>
          <w:spacing w:val="2"/>
          <w:sz w:val="20"/>
          <w:szCs w:val="20"/>
          <w:lang w:eastAsia="ru-RU"/>
        </w:rPr>
      </w:pPr>
      <w:r w:rsidRPr="00F360A5">
        <w:rPr>
          <w:rFonts w:ascii="Verdana" w:eastAsia="Times New Roman" w:hAnsi="Verdana" w:cs="Times New Roman"/>
          <w:color w:val="333333"/>
          <w:spacing w:val="2"/>
          <w:sz w:val="20"/>
          <w:szCs w:val="20"/>
          <w:lang w:eastAsia="ru-RU"/>
        </w:rPr>
        <w:t xml:space="preserve">Если результат пробы у ребенка положителен, но предыдущая проба проводилась не один, а два и более года назад, ребенок считается «инфицированным с неустановленным сроком давности». Рекомендуется проведение повторной пробы через 6 месяцев. По результатам второй пробы решается вопрос о необходимости наблюдения в тубдиспансере и </w:t>
      </w:r>
      <w:proofErr w:type="spellStart"/>
      <w:r w:rsidRPr="00F360A5">
        <w:rPr>
          <w:rFonts w:ascii="Verdana" w:eastAsia="Times New Roman" w:hAnsi="Verdana" w:cs="Times New Roman"/>
          <w:color w:val="333333"/>
          <w:spacing w:val="2"/>
          <w:sz w:val="20"/>
          <w:szCs w:val="20"/>
          <w:lang w:eastAsia="ru-RU"/>
        </w:rPr>
        <w:t>химиопрофилактике</w:t>
      </w:r>
      <w:proofErr w:type="spellEnd"/>
      <w:r w:rsidRPr="00F360A5">
        <w:rPr>
          <w:rFonts w:ascii="Verdana" w:eastAsia="Times New Roman" w:hAnsi="Verdana" w:cs="Times New Roman"/>
          <w:color w:val="333333"/>
          <w:spacing w:val="2"/>
          <w:sz w:val="20"/>
          <w:szCs w:val="20"/>
          <w:lang w:eastAsia="ru-RU"/>
        </w:rPr>
        <w:t>.</w:t>
      </w:r>
    </w:p>
    <w:p w:rsidR="00F360A5" w:rsidRPr="00F360A5" w:rsidRDefault="00F360A5" w:rsidP="00F360A5">
      <w:pPr>
        <w:shd w:val="clear" w:color="auto" w:fill="FFFFFF"/>
        <w:spacing w:after="0" w:line="270" w:lineRule="atLeast"/>
        <w:jc w:val="both"/>
        <w:rPr>
          <w:rFonts w:ascii="Verdana" w:eastAsia="Times New Roman" w:hAnsi="Verdana" w:cs="Times New Roman"/>
          <w:color w:val="333333"/>
          <w:spacing w:val="2"/>
          <w:sz w:val="20"/>
          <w:szCs w:val="20"/>
          <w:lang w:eastAsia="ru-RU"/>
        </w:rPr>
      </w:pPr>
      <w:r w:rsidRPr="00F360A5">
        <w:rPr>
          <w:rFonts w:ascii="Verdana" w:eastAsia="Times New Roman" w:hAnsi="Verdana" w:cs="Times New Roman"/>
          <w:color w:val="333333"/>
          <w:spacing w:val="2"/>
          <w:sz w:val="20"/>
          <w:szCs w:val="20"/>
          <w:lang w:eastAsia="ru-RU"/>
        </w:rPr>
        <w:t>Постановка детей на диспансерный учет у фтизиатра определена положениями Инструкции по организации диспансерного наблюдения и учета контингентом противотуберкулезных учреждений (Приложение N 7 к Приказу Минздрава России от 21 марта 2003 г. N 109, часть III Группы диспансерного наблюдения и учета детских и подростковых контингентов противотуберкулезных учреждений).</w:t>
      </w:r>
    </w:p>
    <w:p w:rsidR="00F360A5" w:rsidRPr="00F360A5" w:rsidRDefault="00F360A5" w:rsidP="00F360A5">
      <w:pPr>
        <w:shd w:val="clear" w:color="auto" w:fill="FFFFFF"/>
        <w:spacing w:after="0" w:line="270" w:lineRule="atLeast"/>
        <w:jc w:val="both"/>
        <w:rPr>
          <w:rFonts w:ascii="Verdana" w:eastAsia="Times New Roman" w:hAnsi="Verdana" w:cs="Times New Roman"/>
          <w:color w:val="333333"/>
          <w:spacing w:val="2"/>
          <w:sz w:val="20"/>
          <w:szCs w:val="20"/>
          <w:lang w:eastAsia="ru-RU"/>
        </w:rPr>
      </w:pPr>
      <w:r w:rsidRPr="00F360A5">
        <w:rPr>
          <w:rFonts w:ascii="Verdana" w:eastAsia="Times New Roman" w:hAnsi="Verdana" w:cs="Times New Roman"/>
          <w:color w:val="333333"/>
          <w:spacing w:val="2"/>
          <w:sz w:val="20"/>
          <w:szCs w:val="20"/>
          <w:lang w:eastAsia="ru-RU"/>
        </w:rPr>
        <w:t>Особо здесь отмечу, что, согласно «Инструкции по применению туберкулиновых проб» постановка детей до трех лет на учет по VI группе (собственно, по которой и определяется  лечение специальными препаратами) вообще исключена! Цитирую: «Все дети (старше трех лет), у которых произошел переход ранее отрицательных туберкулиновых реакций в положительные, а также дети с усиливающейся чувствительностью к туберкулину при наличии контакта с больным туберкулезом, после исключения активного туберкулезного процесса, берутся на учет ПТД по VI группе». Старше трех лет! Это правило специально оговорено в Инструкции, однако часто нарушается на практике.</w:t>
      </w:r>
    </w:p>
    <w:p w:rsidR="00F360A5" w:rsidRPr="00F360A5" w:rsidRDefault="00F360A5" w:rsidP="00F360A5">
      <w:pPr>
        <w:shd w:val="clear" w:color="auto" w:fill="FFFFFF"/>
        <w:spacing w:after="0" w:line="270" w:lineRule="atLeast"/>
        <w:jc w:val="both"/>
        <w:rPr>
          <w:rFonts w:ascii="Verdana" w:eastAsia="Times New Roman" w:hAnsi="Verdana" w:cs="Times New Roman"/>
          <w:color w:val="333333"/>
          <w:spacing w:val="2"/>
          <w:sz w:val="20"/>
          <w:szCs w:val="20"/>
          <w:lang w:eastAsia="ru-RU"/>
        </w:rPr>
      </w:pPr>
      <w:r w:rsidRPr="00F360A5">
        <w:rPr>
          <w:rFonts w:ascii="Verdana" w:eastAsia="Times New Roman" w:hAnsi="Verdana" w:cs="Times New Roman"/>
          <w:color w:val="333333"/>
          <w:spacing w:val="2"/>
          <w:sz w:val="20"/>
          <w:szCs w:val="20"/>
          <w:lang w:eastAsia="ru-RU"/>
        </w:rPr>
        <w:t>Напомню, проба Манту не является 100% достоверным средством диагностики туберкулеза, и на основании одной только положительной реакции диагноз «</w:t>
      </w:r>
      <w:proofErr w:type="spellStart"/>
      <w:r w:rsidRPr="00F360A5">
        <w:rPr>
          <w:rFonts w:ascii="Verdana" w:eastAsia="Times New Roman" w:hAnsi="Verdana" w:cs="Times New Roman"/>
          <w:color w:val="333333"/>
          <w:spacing w:val="2"/>
          <w:sz w:val="20"/>
          <w:szCs w:val="20"/>
          <w:lang w:eastAsia="ru-RU"/>
        </w:rPr>
        <w:t>тубинфицирование</w:t>
      </w:r>
      <w:proofErr w:type="spellEnd"/>
      <w:r w:rsidRPr="00F360A5">
        <w:rPr>
          <w:rFonts w:ascii="Verdana" w:eastAsia="Times New Roman" w:hAnsi="Verdana" w:cs="Times New Roman"/>
          <w:color w:val="333333"/>
          <w:spacing w:val="2"/>
          <w:sz w:val="20"/>
          <w:szCs w:val="20"/>
          <w:lang w:eastAsia="ru-RU"/>
        </w:rPr>
        <w:t>» ставиться не может!</w:t>
      </w:r>
    </w:p>
    <w:p w:rsidR="00F360A5" w:rsidRPr="00F360A5" w:rsidRDefault="00F360A5" w:rsidP="00F360A5">
      <w:pPr>
        <w:shd w:val="clear" w:color="auto" w:fill="FFFFFF"/>
        <w:spacing w:after="0" w:line="270" w:lineRule="atLeast"/>
        <w:jc w:val="both"/>
        <w:rPr>
          <w:rFonts w:ascii="Verdana" w:eastAsia="Times New Roman" w:hAnsi="Verdana" w:cs="Times New Roman"/>
          <w:color w:val="333333"/>
          <w:spacing w:val="2"/>
          <w:sz w:val="20"/>
          <w:szCs w:val="20"/>
          <w:lang w:eastAsia="ru-RU"/>
        </w:rPr>
      </w:pPr>
      <w:r w:rsidRPr="00F360A5">
        <w:rPr>
          <w:rFonts w:ascii="Verdana" w:eastAsia="Times New Roman" w:hAnsi="Verdana" w:cs="Times New Roman"/>
          <w:color w:val="333333"/>
          <w:spacing w:val="2"/>
          <w:sz w:val="20"/>
          <w:szCs w:val="20"/>
          <w:lang w:eastAsia="ru-RU"/>
        </w:rPr>
        <w:t>При первом визите к фтизиатру вам назначат следующие обследования – флюорография грудной клетки, микробиологический посев мокроты, обследование членов семей.</w:t>
      </w:r>
    </w:p>
    <w:p w:rsidR="00F360A5" w:rsidRPr="00F360A5" w:rsidRDefault="00F360A5" w:rsidP="00F360A5">
      <w:pPr>
        <w:shd w:val="clear" w:color="auto" w:fill="FFFFFF"/>
        <w:spacing w:after="0" w:line="270" w:lineRule="atLeast"/>
        <w:jc w:val="both"/>
        <w:rPr>
          <w:rFonts w:ascii="Verdana" w:eastAsia="Times New Roman" w:hAnsi="Verdana" w:cs="Times New Roman"/>
          <w:color w:val="333333"/>
          <w:spacing w:val="2"/>
          <w:sz w:val="20"/>
          <w:szCs w:val="20"/>
          <w:lang w:eastAsia="ru-RU"/>
        </w:rPr>
      </w:pPr>
      <w:proofErr w:type="gramStart"/>
      <w:r w:rsidRPr="00F360A5">
        <w:rPr>
          <w:rFonts w:ascii="Verdana" w:eastAsia="Times New Roman" w:hAnsi="Verdana" w:cs="Times New Roman"/>
          <w:color w:val="333333"/>
          <w:spacing w:val="2"/>
          <w:sz w:val="20"/>
          <w:szCs w:val="20"/>
          <w:lang w:eastAsia="ru-RU"/>
        </w:rPr>
        <w:t xml:space="preserve">Если вам назначают профилактический курс </w:t>
      </w:r>
      <w:proofErr w:type="spellStart"/>
      <w:r w:rsidRPr="00F360A5">
        <w:rPr>
          <w:rFonts w:ascii="Verdana" w:eastAsia="Times New Roman" w:hAnsi="Verdana" w:cs="Times New Roman"/>
          <w:color w:val="333333"/>
          <w:spacing w:val="2"/>
          <w:sz w:val="20"/>
          <w:szCs w:val="20"/>
          <w:lang w:eastAsia="ru-RU"/>
        </w:rPr>
        <w:t>изониазида</w:t>
      </w:r>
      <w:proofErr w:type="spellEnd"/>
      <w:r w:rsidRPr="00F360A5">
        <w:rPr>
          <w:rFonts w:ascii="Verdana" w:eastAsia="Times New Roman" w:hAnsi="Verdana" w:cs="Times New Roman"/>
          <w:color w:val="333333"/>
          <w:spacing w:val="2"/>
          <w:sz w:val="20"/>
          <w:szCs w:val="20"/>
          <w:lang w:eastAsia="ru-RU"/>
        </w:rPr>
        <w:t xml:space="preserve"> или др. препараты, то требуйте весь комплекс обследований, необходимых по «Инструкции по химиотерапии больных туберкулезом»:  исследование мокроты и иного доступного диагностического материала на микобактерии туберкулеза не менее чем трехкратно, исследование крови на антитела к ВИЧ, вирусам гепатита, ЭКГ, </w:t>
      </w:r>
      <w:proofErr w:type="spellStart"/>
      <w:r w:rsidRPr="00F360A5">
        <w:rPr>
          <w:rFonts w:ascii="Verdana" w:eastAsia="Times New Roman" w:hAnsi="Verdana" w:cs="Times New Roman"/>
          <w:color w:val="333333"/>
          <w:spacing w:val="2"/>
          <w:sz w:val="20"/>
          <w:szCs w:val="20"/>
          <w:lang w:eastAsia="ru-RU"/>
        </w:rPr>
        <w:t>туберкулинодиагностика</w:t>
      </w:r>
      <w:proofErr w:type="spellEnd"/>
      <w:r w:rsidRPr="00F360A5">
        <w:rPr>
          <w:rFonts w:ascii="Verdana" w:eastAsia="Times New Roman" w:hAnsi="Verdana" w:cs="Times New Roman"/>
          <w:color w:val="333333"/>
          <w:spacing w:val="2"/>
          <w:sz w:val="20"/>
          <w:szCs w:val="20"/>
          <w:lang w:eastAsia="ru-RU"/>
        </w:rPr>
        <w:t xml:space="preserve"> (определение порога чувствительности к туберкулину, накожная градуированная проба) и ряд других.</w:t>
      </w:r>
      <w:proofErr w:type="gramEnd"/>
    </w:p>
    <w:p w:rsidR="00F360A5" w:rsidRPr="00F360A5" w:rsidRDefault="00F360A5" w:rsidP="00F360A5">
      <w:pPr>
        <w:shd w:val="clear" w:color="auto" w:fill="FFFFFF"/>
        <w:spacing w:after="0" w:line="270" w:lineRule="atLeast"/>
        <w:jc w:val="both"/>
        <w:rPr>
          <w:rFonts w:ascii="Verdana" w:eastAsia="Times New Roman" w:hAnsi="Verdana" w:cs="Times New Roman"/>
          <w:color w:val="333333"/>
          <w:spacing w:val="2"/>
          <w:sz w:val="20"/>
          <w:szCs w:val="20"/>
          <w:lang w:eastAsia="ru-RU"/>
        </w:rPr>
      </w:pPr>
      <w:r w:rsidRPr="00F360A5">
        <w:rPr>
          <w:rFonts w:ascii="Verdana" w:eastAsia="Times New Roman" w:hAnsi="Verdana" w:cs="Times New Roman"/>
          <w:color w:val="333333"/>
          <w:spacing w:val="2"/>
          <w:sz w:val="20"/>
          <w:szCs w:val="20"/>
          <w:lang w:eastAsia="ru-RU"/>
        </w:rPr>
        <w:t>Препараты против туберкулезной палочки очень токсичны, пусть даже и в «профилактических дозах», которые рассчитываются на вес ребенка. Сами понимаете, что значит – «рассчитать на вес» препарат с большим количеством побочных эффектов, дети – они ведь не одинаковые механизмы, поэтому риск профилактического лечения здорового ребенка очень высок! </w:t>
      </w:r>
    </w:p>
    <w:p w:rsidR="00F360A5" w:rsidRPr="00F360A5" w:rsidRDefault="00F360A5" w:rsidP="00F360A5">
      <w:pPr>
        <w:shd w:val="clear" w:color="auto" w:fill="FFFFFF"/>
        <w:spacing w:after="0" w:line="270" w:lineRule="atLeast"/>
        <w:jc w:val="both"/>
        <w:rPr>
          <w:rFonts w:ascii="Verdana" w:eastAsia="Times New Roman" w:hAnsi="Verdana" w:cs="Times New Roman"/>
          <w:color w:val="333333"/>
          <w:spacing w:val="2"/>
          <w:sz w:val="20"/>
          <w:szCs w:val="20"/>
          <w:lang w:eastAsia="ru-RU"/>
        </w:rPr>
      </w:pPr>
      <w:r w:rsidRPr="00F360A5">
        <w:rPr>
          <w:rFonts w:ascii="Verdana" w:eastAsia="Times New Roman" w:hAnsi="Verdana" w:cs="Times New Roman"/>
          <w:color w:val="333333"/>
          <w:spacing w:val="2"/>
          <w:sz w:val="20"/>
          <w:szCs w:val="20"/>
          <w:lang w:eastAsia="ru-RU"/>
        </w:rPr>
        <w:t xml:space="preserve">Режим и методику химиотерапии определяют индивидуально с учетом факторов риска. Требуйте достоверной оценки состояния здоровья своего ребенка. Уточните рекомендации врача по приему витаминов, </w:t>
      </w:r>
      <w:proofErr w:type="spellStart"/>
      <w:r w:rsidRPr="00F360A5">
        <w:rPr>
          <w:rFonts w:ascii="Verdana" w:eastAsia="Times New Roman" w:hAnsi="Verdana" w:cs="Times New Roman"/>
          <w:color w:val="333333"/>
          <w:spacing w:val="2"/>
          <w:sz w:val="20"/>
          <w:szCs w:val="20"/>
          <w:lang w:eastAsia="ru-RU"/>
        </w:rPr>
        <w:t>гепатопротекторов</w:t>
      </w:r>
      <w:proofErr w:type="spellEnd"/>
      <w:r w:rsidRPr="00F360A5">
        <w:rPr>
          <w:rFonts w:ascii="Verdana" w:eastAsia="Times New Roman" w:hAnsi="Verdana" w:cs="Times New Roman"/>
          <w:color w:val="333333"/>
          <w:spacing w:val="2"/>
          <w:sz w:val="20"/>
          <w:szCs w:val="20"/>
          <w:lang w:eastAsia="ru-RU"/>
        </w:rPr>
        <w:t xml:space="preserve"> (лекарственные средства, защищающие печень) и режиму специальной диеты.</w:t>
      </w:r>
    </w:p>
    <w:p w:rsidR="00F360A5" w:rsidRPr="00F360A5" w:rsidRDefault="00F360A5" w:rsidP="00F360A5">
      <w:pPr>
        <w:shd w:val="clear" w:color="auto" w:fill="FFFFFF"/>
        <w:spacing w:after="0" w:line="270" w:lineRule="atLeast"/>
        <w:rPr>
          <w:rFonts w:ascii="Verdana" w:eastAsia="Times New Roman" w:hAnsi="Verdana" w:cs="Times New Roman"/>
          <w:color w:val="333333"/>
          <w:spacing w:val="2"/>
          <w:sz w:val="20"/>
          <w:szCs w:val="20"/>
          <w:lang w:eastAsia="ru-RU"/>
        </w:rPr>
      </w:pPr>
      <w:r w:rsidRPr="00F360A5">
        <w:rPr>
          <w:rFonts w:ascii="Verdana" w:eastAsia="Times New Roman" w:hAnsi="Verdana" w:cs="Times New Roman"/>
          <w:color w:val="333333"/>
          <w:spacing w:val="2"/>
          <w:sz w:val="20"/>
          <w:szCs w:val="20"/>
          <w:lang w:eastAsia="ru-RU"/>
        </w:rPr>
        <w:t> </w:t>
      </w:r>
      <w:bookmarkStart w:id="0" w:name="_GoBack"/>
      <w:bookmarkEnd w:id="0"/>
    </w:p>
    <w:sectPr w:rsidR="00F360A5" w:rsidRPr="00F36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D6921"/>
    <w:multiLevelType w:val="multilevel"/>
    <w:tmpl w:val="E5B63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E5418F"/>
    <w:multiLevelType w:val="multilevel"/>
    <w:tmpl w:val="A0767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7A0F07"/>
    <w:multiLevelType w:val="multilevel"/>
    <w:tmpl w:val="4C98F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4D3D59"/>
    <w:multiLevelType w:val="multilevel"/>
    <w:tmpl w:val="6FD48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0A5"/>
    <w:rsid w:val="00932232"/>
    <w:rsid w:val="00F3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2741</Words>
  <Characters>15626</Characters>
  <Application>Microsoft Office Word</Application>
  <DocSecurity>0</DocSecurity>
  <Lines>130</Lines>
  <Paragraphs>36</Paragraphs>
  <ScaleCrop>false</ScaleCrop>
  <Company>Home</Company>
  <LinksUpToDate>false</LinksUpToDate>
  <CharactersWithSpaces>18331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2016-05-18T18:41:00Z</dcterms:created>
  <dcterms:modified xsi:type="dcterms:W3CDTF">2016-05-18T18:44:00Z</dcterms:modified>
</cp:coreProperties>
</file>