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6"/>
        <w:gridCol w:w="1086"/>
        <w:gridCol w:w="4503"/>
      </w:tblGrid>
      <w:tr w:rsidR="00741061" w:rsidTr="00741061">
        <w:trPr>
          <w:trHeight w:val="4904"/>
          <w:tblCellSpacing w:w="0" w:type="dxa"/>
        </w:trPr>
        <w:tc>
          <w:tcPr>
            <w:tcW w:w="4416" w:type="dxa"/>
            <w:hideMark/>
          </w:tcPr>
          <w:p w:rsidR="00741061" w:rsidRDefault="00741061">
            <w:pPr>
              <w:pStyle w:val="--3-western1"/>
              <w:rPr>
                <w:b/>
                <w:bCs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61" w:rsidRPr="00741061" w:rsidRDefault="00741061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1061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ПРАВИТЕЛЬСТВО</w:t>
            </w:r>
            <w:r w:rsidRPr="00741061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br/>
              <w:t>КУРГАНСКОЙ ОБЛАСТИ</w:t>
            </w:r>
          </w:p>
          <w:p w:rsidR="00741061" w:rsidRPr="00741061" w:rsidRDefault="00741061">
            <w:pPr>
              <w:ind w:right="-105"/>
              <w:jc w:val="center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hAnsi="Arial" w:cs="Arial"/>
                <w:b/>
                <w:bCs/>
                <w:lang w:val="ru-RU"/>
              </w:rPr>
              <w:t>УПРАВЛЕНИЕ ПО ФИЗИЧЕСКОЙ КУЛЬТУРЕ, СПОРТУ И ТУРИЗМУ КУРГАНСКОЙ ОБЛАСТИ</w:t>
            </w:r>
          </w:p>
          <w:p w:rsidR="00741061" w:rsidRPr="00741061" w:rsidRDefault="00741061">
            <w:pPr>
              <w:jc w:val="center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 xml:space="preserve">ул. Куйбышева, </w:t>
            </w:r>
            <w:smartTag w:uri="urn:schemas-microsoft-com:office:smarttags" w:element="metricconverter">
              <w:smartTagPr>
                <w:attr w:name="ProductID" w:val="35, г"/>
              </w:smartTagPr>
              <w:r w:rsidRPr="00741061">
                <w:rPr>
                  <w:rFonts w:ascii="Arial" w:hAnsi="Arial" w:cs="Arial"/>
                  <w:sz w:val="20"/>
                  <w:szCs w:val="20"/>
                  <w:lang w:val="ru-RU"/>
                </w:rPr>
                <w:t>35, г</w:t>
              </w:r>
            </w:smartTag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 xml:space="preserve">. Курган, </w:t>
            </w:r>
          </w:p>
          <w:p w:rsidR="00741061" w:rsidRPr="00741061" w:rsidRDefault="00741061">
            <w:pPr>
              <w:jc w:val="center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Курганская область, 640020,</w:t>
            </w:r>
          </w:p>
          <w:p w:rsidR="00741061" w:rsidRPr="00741061" w:rsidRDefault="00741061">
            <w:pPr>
              <w:jc w:val="center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тел./факс</w:t>
            </w:r>
            <w:r w:rsidRPr="0074106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(8-3522) 46-23-97</w:t>
            </w:r>
          </w:p>
          <w:p w:rsidR="00741061" w:rsidRPr="00741061" w:rsidRDefault="0074106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http</w:t>
            </w: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 xml:space="preserve">//: </w:t>
            </w:r>
            <w:r>
              <w:rPr>
                <w:rFonts w:ascii="Arial" w:hAnsi="Arial" w:cs="Arial"/>
                <w:sz w:val="20"/>
                <w:szCs w:val="20"/>
              </w:rPr>
              <w:t>www</w:t>
            </w: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sport</w:t>
            </w:r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kurganobl</w:t>
            </w:r>
            <w:proofErr w:type="spellEnd"/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 w:rsidRPr="0074106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741061" w:rsidRDefault="007410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sport@kurganobl.ru</w:t>
              </w:r>
            </w:hyperlink>
          </w:p>
          <w:p w:rsidR="00741061" w:rsidRPr="00741061" w:rsidRDefault="0074106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26.12.2014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года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№ 2147/03 </w:t>
            </w:r>
          </w:p>
          <w:p w:rsidR="00741061" w:rsidRDefault="00741061">
            <w:pPr>
              <w:pStyle w:val="-----western1"/>
            </w:pP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</w:t>
            </w:r>
          </w:p>
        </w:tc>
        <w:tc>
          <w:tcPr>
            <w:tcW w:w="1086" w:type="dxa"/>
          </w:tcPr>
          <w:p w:rsidR="00741061" w:rsidRDefault="00741061">
            <w:pPr>
              <w:pStyle w:val="a4"/>
              <w:spacing w:before="100" w:after="119"/>
              <w:ind w:left="431" w:right="-6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03" w:type="dxa"/>
          </w:tcPr>
          <w:p w:rsidR="00741061" w:rsidRDefault="00741061">
            <w:pPr>
              <w:pStyle w:val="a4"/>
              <w:keepNext/>
              <w:suppressAutoHyphens/>
              <w:spacing w:after="120"/>
              <w:rPr>
                <w:rFonts w:eastAsia="MS Mincho" w:cs="Arial"/>
                <w:lang w:val="ru-RU" w:eastAsia="ar-SA"/>
              </w:rPr>
            </w:pPr>
            <w:r>
              <w:rPr>
                <w:rFonts w:eastAsia="MS Mincho" w:cs="Arial"/>
                <w:lang w:val="ru-RU" w:eastAsia="ar-SA"/>
              </w:rPr>
              <w:t>Главам муниципальных районов</w:t>
            </w:r>
          </w:p>
          <w:p w:rsidR="00741061" w:rsidRDefault="00741061">
            <w:pPr>
              <w:pStyle w:val="a4"/>
              <w:spacing w:after="120"/>
              <w:jc w:val="left"/>
              <w:rPr>
                <w:lang w:val="ru-RU" w:eastAsia="ar-SA"/>
              </w:rPr>
            </w:pPr>
            <w:r>
              <w:rPr>
                <w:lang w:val="ru-RU" w:eastAsia="ar-SA"/>
              </w:rPr>
              <w:t>Главе города Шадринска</w:t>
            </w:r>
          </w:p>
          <w:p w:rsidR="00741061" w:rsidRDefault="00741061">
            <w:pPr>
              <w:pStyle w:val="a4"/>
              <w:spacing w:after="0"/>
              <w:jc w:val="left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Руководителю Администрации </w:t>
            </w:r>
          </w:p>
          <w:p w:rsidR="00741061" w:rsidRDefault="00741061">
            <w:pPr>
              <w:pStyle w:val="a4"/>
              <w:spacing w:after="120"/>
              <w:jc w:val="left"/>
              <w:rPr>
                <w:lang w:val="ru-RU" w:eastAsia="ar-SA"/>
              </w:rPr>
            </w:pPr>
            <w:r>
              <w:rPr>
                <w:lang w:val="ru-RU" w:eastAsia="ar-SA"/>
              </w:rPr>
              <w:t>города Кургана</w:t>
            </w:r>
          </w:p>
          <w:p w:rsidR="00741061" w:rsidRDefault="00741061">
            <w:pPr>
              <w:pStyle w:val="a4"/>
              <w:keepNext/>
              <w:suppressAutoHyphens/>
              <w:spacing w:after="0"/>
              <w:rPr>
                <w:rFonts w:eastAsia="MS Mincho" w:cs="Arial"/>
                <w:lang w:val="ru-RU" w:eastAsia="ar-SA"/>
              </w:rPr>
            </w:pPr>
          </w:p>
          <w:p w:rsidR="00741061" w:rsidRDefault="00741061">
            <w:pPr>
              <w:pStyle w:val="a4"/>
              <w:keepNext/>
              <w:suppressAutoHyphens/>
              <w:spacing w:after="0"/>
              <w:rPr>
                <w:rFonts w:eastAsia="MS Mincho" w:cs="Arial"/>
                <w:lang w:val="ru-RU" w:eastAsia="ar-SA"/>
              </w:rPr>
            </w:pPr>
          </w:p>
          <w:p w:rsidR="00741061" w:rsidRDefault="00741061">
            <w:pPr>
              <w:pStyle w:val="a4"/>
              <w:suppressAutoHyphens/>
              <w:spacing w:after="120"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741061" w:rsidRDefault="00741061" w:rsidP="007410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proofErr w:type="spellStart"/>
      <w:r>
        <w:rPr>
          <w:rFonts w:ascii="Arial" w:hAnsi="Arial" w:cs="Arial"/>
          <w:b/>
        </w:rPr>
        <w:t>пилотном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режиме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внедрения</w:t>
      </w:r>
      <w:proofErr w:type="spellEnd"/>
      <w:r>
        <w:rPr>
          <w:rFonts w:ascii="Arial" w:hAnsi="Arial" w:cs="Arial"/>
          <w:b/>
        </w:rPr>
        <w:t xml:space="preserve"> </w:t>
      </w:r>
    </w:p>
    <w:p w:rsidR="00741061" w:rsidRPr="00741061" w:rsidRDefault="00741061" w:rsidP="00741061">
      <w:pPr>
        <w:rPr>
          <w:rFonts w:ascii="Arial" w:hAnsi="Arial" w:cs="Arial"/>
          <w:b/>
          <w:lang w:val="ru-RU"/>
        </w:rPr>
      </w:pPr>
      <w:r w:rsidRPr="00741061">
        <w:rPr>
          <w:rFonts w:ascii="Arial" w:hAnsi="Arial" w:cs="Arial"/>
          <w:b/>
          <w:lang w:val="ru-RU"/>
        </w:rPr>
        <w:t>комплекса ГТО</w:t>
      </w:r>
    </w:p>
    <w:p w:rsidR="00741061" w:rsidRPr="00741061" w:rsidRDefault="00741061" w:rsidP="00741061">
      <w:pPr>
        <w:rPr>
          <w:rFonts w:ascii="Arial" w:hAnsi="Arial" w:cs="Arial"/>
          <w:b/>
          <w:lang w:val="ru-RU"/>
        </w:rPr>
      </w:pPr>
    </w:p>
    <w:p w:rsidR="00741061" w:rsidRDefault="00741061" w:rsidP="00741061">
      <w:pPr>
        <w:pStyle w:val="a4"/>
        <w:spacing w:after="0"/>
        <w:rPr>
          <w:rFonts w:cs="Arial"/>
          <w:lang w:val="ru-RU"/>
        </w:rPr>
      </w:pPr>
      <w:r>
        <w:rPr>
          <w:rFonts w:cs="Arial"/>
          <w:lang w:val="ru-RU"/>
        </w:rPr>
        <w:t>Уважаемые коллеги!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В Управление по физической культуре, спорту и туризму Курганской области поступают вопросы о возможностях поэтапного внедрения Всероссийского физкультурно-спортивного комплекса ГТО (далее - комплекс ГТО) на муниципальном уровне в условиях </w:t>
      </w:r>
      <w:proofErr w:type="spellStart"/>
      <w:r>
        <w:rPr>
          <w:rFonts w:cs="Arial"/>
          <w:lang w:val="ru-RU"/>
        </w:rPr>
        <w:t>пилотной</w:t>
      </w:r>
      <w:proofErr w:type="spellEnd"/>
      <w:r>
        <w:rPr>
          <w:rFonts w:cs="Arial"/>
          <w:lang w:val="ru-RU"/>
        </w:rPr>
        <w:t xml:space="preserve"> апробации.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</w:rPr>
      </w:pPr>
      <w:r>
        <w:rPr>
          <w:rFonts w:cs="Arial"/>
        </w:rPr>
        <w:t>На территории Курганской области реализуется План мероприятий</w:t>
      </w:r>
      <w:r>
        <w:rPr>
          <w:rFonts w:cs="Arial"/>
          <w:lang w:val="ru-RU"/>
        </w:rPr>
        <w:t xml:space="preserve"> по внедрению комплекса ГТО</w:t>
      </w:r>
      <w:r>
        <w:rPr>
          <w:rFonts w:cs="Arial"/>
        </w:rPr>
        <w:t>, утвержденный Губернатором Курганской области и согласованный Министерством спорта Российской Федерации.</w:t>
      </w:r>
    </w:p>
    <w:p w:rsidR="00741061" w:rsidRPr="00741061" w:rsidRDefault="00741061" w:rsidP="00741061">
      <w:pPr>
        <w:ind w:firstLine="567"/>
        <w:jc w:val="both"/>
        <w:rPr>
          <w:rFonts w:ascii="Arial" w:hAnsi="Arial" w:cs="Arial"/>
          <w:lang w:val="ru-RU"/>
        </w:rPr>
      </w:pPr>
      <w:r w:rsidRPr="00741061">
        <w:rPr>
          <w:rFonts w:ascii="Arial" w:hAnsi="Arial" w:cs="Arial"/>
          <w:lang w:val="ru-RU"/>
        </w:rPr>
        <w:t>С 2016 года стартует второй этап внедрения комплекса ГТО среди обучающихся всех образовательных организаций страны, а также других категорий населения по отдельным субъектам Российской Федерации.</w:t>
      </w:r>
    </w:p>
    <w:p w:rsidR="00741061" w:rsidRPr="00741061" w:rsidRDefault="00741061" w:rsidP="00741061">
      <w:pPr>
        <w:tabs>
          <w:tab w:val="left" w:pos="935"/>
        </w:tabs>
        <w:ind w:firstLine="567"/>
        <w:jc w:val="both"/>
        <w:rPr>
          <w:rFonts w:ascii="Arial" w:hAnsi="Arial" w:cs="Arial"/>
          <w:lang w:val="ru-RU"/>
        </w:rPr>
      </w:pPr>
      <w:r w:rsidRPr="00741061">
        <w:rPr>
          <w:rFonts w:ascii="Arial" w:hAnsi="Arial" w:cs="Arial"/>
          <w:lang w:val="ru-RU"/>
        </w:rPr>
        <w:t>С 2017 года - третий этап повсеместного внедрения комплекса ГТО для всех категорий населения.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  <w:proofErr w:type="spellStart"/>
      <w:r>
        <w:rPr>
          <w:rFonts w:cs="Arial"/>
          <w:lang w:val="ru-RU"/>
        </w:rPr>
        <w:t>Пилотный</w:t>
      </w:r>
      <w:proofErr w:type="spellEnd"/>
      <w:r>
        <w:rPr>
          <w:rFonts w:cs="Arial"/>
          <w:lang w:val="ru-RU"/>
        </w:rPr>
        <w:t xml:space="preserve"> характер апробации ГТО открывает широкие возможности для использования комплекса в адаптированном, неполном ("усеченном") варианте.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  <w:r>
        <w:rPr>
          <w:rFonts w:cs="Arial"/>
          <w:lang w:val="ru-RU"/>
        </w:rPr>
        <w:t>В этой связи полагаем целесообразным наряду с мероприятиями указанного выше Плана проводить работу по поэтапному внедрению комплекса ГТО в 2015 году по следующим направлениям: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7203"/>
      </w:tblGrid>
      <w:tr w:rsidR="00741061" w:rsidRPr="00741061" w:rsidTr="007410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Организационное направление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Обсуждение вопросов по подготовке к внедрению комплекса ГТО в рамках межведомственных совещаний с участием представителей медицинских учреждений, ДОСААФ, СМИ и других заинтересованных органов, ведомств и общественных объединений, в том числе на уровне Главы (заместителя Главы) района (города) </w:t>
            </w:r>
          </w:p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</w:p>
        </w:tc>
      </w:tr>
      <w:tr w:rsidR="00741061" w:rsidRPr="00741061" w:rsidTr="007410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Информационно-пропагандистское направление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Информирование (ознакомление) различных категорий населения с Указом Президента России и иными документами по комплексу ГТО (символикой, нормативами и др.) через средства массовой информации, сайты местной </w:t>
            </w:r>
            <w:r>
              <w:rPr>
                <w:rFonts w:cs="Arial"/>
                <w:lang w:val="ru-RU"/>
              </w:rPr>
              <w:lastRenderedPageBreak/>
              <w:t>администрации и организаций, создание информационных стендов, баннеров, роликов, презентаций.</w:t>
            </w:r>
          </w:p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Проведение информационно-просветительских акций, в том числе с участием представителей органов власти, известных спортсменов, депутатов и т.д.</w:t>
            </w:r>
          </w:p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</w:p>
        </w:tc>
      </w:tr>
      <w:tr w:rsidR="00741061" w:rsidRPr="00741061" w:rsidTr="007410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Подготовительное направление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eastAsia="Andale Sans UI" w:cs="Arial"/>
                <w:kern w:val="2"/>
                <w:lang w:val="ru-RU"/>
              </w:rPr>
            </w:pPr>
            <w:proofErr w:type="gramStart"/>
            <w:r>
              <w:rPr>
                <w:rFonts w:cs="Arial"/>
                <w:lang w:val="ru-RU"/>
              </w:rPr>
              <w:t xml:space="preserve">Назначение лиц, ответственных за консультирование граждан по вопросам организации индивидуальных физкультурно-оздоровительных занятий с ориентацией на нормы и требования комплекса ГТО (с учетом </w:t>
            </w:r>
            <w:r>
              <w:rPr>
                <w:rFonts w:cs="Arial"/>
              </w:rPr>
              <w:t>Методическо</w:t>
            </w:r>
            <w:r>
              <w:rPr>
                <w:rFonts w:cs="Arial"/>
                <w:lang w:val="ru-RU"/>
              </w:rPr>
              <w:t>го</w:t>
            </w:r>
            <w:r>
              <w:rPr>
                <w:rFonts w:cs="Arial"/>
              </w:rPr>
              <w:t xml:space="preserve"> пособи</w:t>
            </w:r>
            <w:r>
              <w:rPr>
                <w:rFonts w:cs="Arial"/>
                <w:lang w:val="ru-RU"/>
              </w:rPr>
              <w:t>я</w:t>
            </w:r>
            <w:r>
              <w:rPr>
                <w:rFonts w:cs="Arial"/>
              </w:rPr>
              <w:t xml:space="preserve"> по подготовке граждан, в том числе по самостоятельной подготовке граждан и подготовке лиц, подлежащих призыву на военную службу, к выполнению нормативов и требований </w:t>
            </w:r>
            <w:r>
              <w:rPr>
                <w:rFonts w:eastAsia="Andale Sans UI" w:cs="Arial"/>
                <w:kern w:val="2"/>
              </w:rPr>
              <w:t>Всероссийского физкультурно-спортивного комплекса "Готов к труду и обороне (ГТО)" для физкультурно-спортивных работников и</w:t>
            </w:r>
            <w:proofErr w:type="gramEnd"/>
            <w:r>
              <w:rPr>
                <w:rFonts w:eastAsia="Andale Sans UI" w:cs="Arial"/>
                <w:kern w:val="2"/>
              </w:rPr>
              <w:t xml:space="preserve"> организаторов тестовых мероприятий</w:t>
            </w:r>
            <w:r>
              <w:rPr>
                <w:rFonts w:eastAsia="Andale Sans UI" w:cs="Arial"/>
                <w:kern w:val="2"/>
                <w:lang w:val="ru-RU"/>
              </w:rPr>
              <w:t>).</w:t>
            </w:r>
          </w:p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Выделение площадок для индивидуальных физкультурно-спортивных занятий граждан по месту жительства, "прикидок" на сдачу норм комплекса ГТО.</w:t>
            </w:r>
          </w:p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Включение отдельных элементов комплекса ГТО в физкультурно-спортивные мероприятия среди различных категорий населения (в том числе в программы спортивных праздников, фестивалей по месту жительства, физкультурно-оздоровительных мероприятий в трудовых коллективах и т.д.)</w:t>
            </w:r>
          </w:p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</w:p>
        </w:tc>
      </w:tr>
      <w:tr w:rsidR="00741061" w:rsidRPr="00741061" w:rsidTr="007410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Методическое направление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Обсуждение нормативных документов и федеральных рекомендаций по комплексу ГТО с работниками, непосредственно задействованными в процесс внедрения комплекса ГТО, выработка наиболее рациональных вариантов продвижения (внедрения) комплекса ГТО</w:t>
            </w:r>
          </w:p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</w:p>
        </w:tc>
      </w:tr>
      <w:tr w:rsidR="00741061" w:rsidRPr="00741061" w:rsidTr="007410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  <w:proofErr w:type="spellStart"/>
            <w:r>
              <w:rPr>
                <w:rFonts w:cs="Arial"/>
                <w:lang w:val="ru-RU"/>
              </w:rPr>
              <w:t>Мотивационно-стимулирующее</w:t>
            </w:r>
            <w:proofErr w:type="spellEnd"/>
            <w:r>
              <w:rPr>
                <w:rFonts w:cs="Arial"/>
                <w:lang w:val="ru-RU"/>
              </w:rPr>
              <w:t xml:space="preserve"> направление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61" w:rsidRDefault="00741061">
            <w:pPr>
              <w:pStyle w:val="a4"/>
              <w:spacing w:after="0"/>
              <w:ind w:firstLine="567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Принятие мер морально-материального стимулирования лиц, задействованных во внедрении комплекса ГТО, а также пропагандистов и энтузиастов внедрения комплекса ГТО (с учетом </w:t>
            </w:r>
            <w:r>
              <w:rPr>
                <w:rFonts w:eastAsia="Andale Sans UI" w:cs="Arial"/>
                <w:kern w:val="2"/>
              </w:rPr>
              <w:t>Методически</w:t>
            </w:r>
            <w:r>
              <w:rPr>
                <w:rFonts w:eastAsia="Andale Sans UI" w:cs="Arial"/>
                <w:kern w:val="2"/>
                <w:lang w:val="ru-RU"/>
              </w:rPr>
              <w:t>х</w:t>
            </w:r>
            <w:r>
              <w:rPr>
                <w:rFonts w:eastAsia="Andale Sans UI" w:cs="Arial"/>
                <w:kern w:val="2"/>
              </w:rPr>
              <w:t xml:space="preserve"> рекомендаци</w:t>
            </w:r>
            <w:r>
              <w:rPr>
                <w:rFonts w:eastAsia="Andale Sans UI" w:cs="Arial"/>
                <w:kern w:val="2"/>
                <w:lang w:val="ru-RU"/>
              </w:rPr>
              <w:t>й</w:t>
            </w:r>
            <w:r>
              <w:rPr>
                <w:rFonts w:eastAsia="Andale Sans UI" w:cs="Arial"/>
                <w:kern w:val="2"/>
              </w:rPr>
              <w:t xml:space="preserve">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 (ГТО)"</w:t>
            </w:r>
            <w:r>
              <w:rPr>
                <w:rFonts w:eastAsia="Andale Sans UI" w:cs="Arial"/>
                <w:kern w:val="2"/>
                <w:lang w:val="ru-RU"/>
              </w:rPr>
              <w:t>).</w:t>
            </w:r>
          </w:p>
          <w:p w:rsidR="00741061" w:rsidRDefault="00741061">
            <w:pPr>
              <w:pStyle w:val="a4"/>
              <w:spacing w:after="0"/>
              <w:jc w:val="both"/>
              <w:rPr>
                <w:rFonts w:cs="Arial"/>
                <w:lang w:val="ru-RU"/>
              </w:rPr>
            </w:pPr>
          </w:p>
        </w:tc>
      </w:tr>
    </w:tbl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  <w:r>
        <w:rPr>
          <w:rFonts w:cs="Arial"/>
          <w:lang w:val="ru-RU"/>
        </w:rPr>
        <w:t>Кроме указанных направлений в 2015 году предстоит провести работу по созданию муниципальных тестовых центров. В настоящее время Управлением готовятся методические рекомендации с вариативными моделями муниципальных тестовых центров и примерная "дорожная карта" (план действий) по созданию и обеспечению функционирования муниципальных тестовых центров.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Опыт внедрения комплекса ГТО в муниципальных образованиях будет обсуждаться на зональных совещаниях с участием представителей органов </w:t>
      </w:r>
      <w:r>
        <w:rPr>
          <w:rFonts w:cs="Arial"/>
          <w:lang w:val="ru-RU"/>
        </w:rPr>
        <w:lastRenderedPageBreak/>
        <w:t>местного самоуправления (январь-апрель 2015 года), на итоговом заседании коллегии Управления (февраль 2015 года) и Совете по развитию физической культуры и спорта при Губернаторе Курганской области (март 2015 года).</w:t>
      </w: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tbl>
      <w:tblPr>
        <w:tblW w:w="9746" w:type="dxa"/>
        <w:tblInd w:w="108" w:type="dxa"/>
        <w:tblLook w:val="04A0"/>
      </w:tblPr>
      <w:tblGrid>
        <w:gridCol w:w="1583"/>
        <w:gridCol w:w="8163"/>
      </w:tblGrid>
      <w:tr w:rsidR="00741061" w:rsidRPr="00741061" w:rsidTr="00741061">
        <w:tc>
          <w:tcPr>
            <w:tcW w:w="1583" w:type="dxa"/>
          </w:tcPr>
          <w:p w:rsidR="00741061" w:rsidRDefault="00741061">
            <w:pPr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Приложение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41061" w:rsidRDefault="00741061">
            <w:pPr>
              <w:jc w:val="both"/>
              <w:rPr>
                <w:rFonts w:ascii="Arial" w:hAnsi="Arial" w:cs="Arial"/>
              </w:rPr>
            </w:pPr>
          </w:p>
          <w:p w:rsidR="00741061" w:rsidRDefault="00741061">
            <w:pPr>
              <w:jc w:val="both"/>
              <w:rPr>
                <w:rFonts w:ascii="Arial" w:hAnsi="Arial" w:cs="Arial"/>
              </w:rPr>
            </w:pPr>
          </w:p>
          <w:p w:rsidR="00741061" w:rsidRDefault="00741061">
            <w:pPr>
              <w:jc w:val="both"/>
              <w:rPr>
                <w:rFonts w:ascii="Arial" w:hAnsi="Arial" w:cs="Arial"/>
              </w:rPr>
            </w:pPr>
          </w:p>
          <w:p w:rsidR="00741061" w:rsidRDefault="00741061">
            <w:pPr>
              <w:jc w:val="both"/>
              <w:rPr>
                <w:rFonts w:ascii="Arial" w:hAnsi="Arial" w:cs="Arial"/>
              </w:rPr>
            </w:pPr>
          </w:p>
          <w:p w:rsidR="00741061" w:rsidRDefault="00741061">
            <w:pPr>
              <w:jc w:val="both"/>
              <w:rPr>
                <w:rFonts w:ascii="Arial" w:hAnsi="Arial" w:cs="Arial"/>
              </w:rPr>
            </w:pPr>
          </w:p>
          <w:p w:rsidR="00741061" w:rsidRDefault="00741061">
            <w:pPr>
              <w:ind w:left="-108"/>
              <w:jc w:val="both"/>
              <w:rPr>
                <w:rFonts w:ascii="Arial" w:hAnsi="Arial" w:cs="Arial"/>
              </w:rPr>
            </w:pPr>
          </w:p>
        </w:tc>
        <w:tc>
          <w:tcPr>
            <w:tcW w:w="8163" w:type="dxa"/>
            <w:hideMark/>
          </w:tcPr>
          <w:p w:rsidR="00741061" w:rsidRPr="00741061" w:rsidRDefault="00741061" w:rsidP="00741061">
            <w:pPr>
              <w:widowControl w:val="0"/>
              <w:numPr>
                <w:ilvl w:val="0"/>
                <w:numId w:val="1"/>
              </w:numPr>
              <w:suppressAutoHyphens/>
              <w:ind w:left="152" w:hanging="260"/>
              <w:jc w:val="both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hAnsi="Arial" w:cs="Arial"/>
                <w:lang w:val="ru-RU"/>
              </w:rPr>
              <w:t xml:space="preserve">Методическое пособие по подготовке граждан, в том числе по самостоятельной подготовке граждан и подготовке лиц, подлежащих призыву на военную службу, к выполнению нормативов и требований </w:t>
            </w:r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>Всероссийского физкультурно-спортивного комплекса "Готов к труду и обороне (ГТО)" для физкультурно-спортивных работников и организаторов тестовых мероприятий, на 18 л., в 1 экз.</w:t>
            </w:r>
          </w:p>
          <w:p w:rsidR="00741061" w:rsidRPr="00741061" w:rsidRDefault="00741061" w:rsidP="00741061">
            <w:pPr>
              <w:widowControl w:val="0"/>
              <w:numPr>
                <w:ilvl w:val="0"/>
                <w:numId w:val="1"/>
              </w:numPr>
              <w:suppressAutoHyphens/>
              <w:ind w:left="152" w:hanging="260"/>
              <w:jc w:val="both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>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 (ГТО)", на 12 л., в 1 экз.</w:t>
            </w:r>
          </w:p>
          <w:p w:rsidR="00741061" w:rsidRPr="00741061" w:rsidRDefault="00741061" w:rsidP="00741061">
            <w:pPr>
              <w:widowControl w:val="0"/>
              <w:numPr>
                <w:ilvl w:val="0"/>
                <w:numId w:val="1"/>
              </w:numPr>
              <w:suppressAutoHyphens/>
              <w:ind w:left="152" w:hanging="260"/>
              <w:jc w:val="both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>Методическое пособие для медицинских работников "Организация медицинского сопровождения выполнения нормативов Всероссийского физкультурно-спортивного комплекса "Готов к труду и обороне (ГТО)", на 74 л., в 1 экз.</w:t>
            </w:r>
          </w:p>
          <w:p w:rsidR="00741061" w:rsidRPr="00741061" w:rsidRDefault="00741061" w:rsidP="00741061">
            <w:pPr>
              <w:widowControl w:val="0"/>
              <w:numPr>
                <w:ilvl w:val="0"/>
                <w:numId w:val="1"/>
              </w:numPr>
              <w:suppressAutoHyphens/>
              <w:ind w:left="152" w:hanging="260"/>
              <w:jc w:val="both"/>
              <w:rPr>
                <w:rFonts w:ascii="Arial" w:hAnsi="Arial" w:cs="Arial"/>
                <w:lang w:val="ru-RU"/>
              </w:rPr>
            </w:pPr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 xml:space="preserve">Письмо </w:t>
            </w:r>
            <w:proofErr w:type="spellStart"/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>Минспорта</w:t>
            </w:r>
            <w:proofErr w:type="spellEnd"/>
            <w:r w:rsidRPr="00741061">
              <w:rPr>
                <w:rFonts w:ascii="Arial" w:eastAsia="Andale Sans UI" w:hAnsi="Arial" w:cs="Arial"/>
                <w:kern w:val="2"/>
                <w:lang w:val="ru-RU"/>
              </w:rPr>
              <w:t xml:space="preserve"> России от 27.10.2014 года № ВМ-03-09/6620, на 3 л., в 1 экз.</w:t>
            </w:r>
          </w:p>
        </w:tc>
      </w:tr>
    </w:tbl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p w:rsidR="00741061" w:rsidRDefault="00741061" w:rsidP="00741061">
      <w:pPr>
        <w:pStyle w:val="a4"/>
        <w:spacing w:after="0"/>
        <w:ind w:firstLine="567"/>
        <w:jc w:val="both"/>
        <w:rPr>
          <w:rFonts w:cs="Arial"/>
          <w:lang w:val="ru-RU"/>
        </w:rPr>
      </w:pPr>
    </w:p>
    <w:p w:rsidR="00741061" w:rsidRDefault="00741061" w:rsidP="00741061">
      <w:pPr>
        <w:rPr>
          <w:rFonts w:ascii="Arial" w:hAnsi="Arial" w:cs="Arial"/>
          <w:bCs/>
          <w:lang w:val="ru-RU"/>
        </w:rPr>
      </w:pPr>
      <w:r w:rsidRPr="00741061">
        <w:rPr>
          <w:rFonts w:ascii="Arial" w:hAnsi="Arial" w:cs="Arial"/>
          <w:bCs/>
          <w:lang w:val="ru-RU"/>
        </w:rPr>
        <w:t xml:space="preserve">Начальник Управления </w:t>
      </w:r>
    </w:p>
    <w:p w:rsidR="00741061" w:rsidRPr="00741061" w:rsidRDefault="00741061" w:rsidP="00741061">
      <w:pPr>
        <w:rPr>
          <w:rFonts w:ascii="Arial" w:hAnsi="Arial" w:cs="Arial"/>
          <w:bCs/>
          <w:lang w:val="ru-RU"/>
        </w:rPr>
      </w:pPr>
      <w:r w:rsidRPr="00741061">
        <w:rPr>
          <w:rFonts w:ascii="Arial" w:hAnsi="Arial" w:cs="Arial"/>
          <w:bCs/>
          <w:lang w:val="ru-RU"/>
        </w:rPr>
        <w:t>по физической культуре, спорту и туризму</w:t>
      </w:r>
    </w:p>
    <w:p w:rsidR="00741061" w:rsidRPr="00741061" w:rsidRDefault="00741061" w:rsidP="00741061">
      <w:pPr>
        <w:rPr>
          <w:rFonts w:ascii="Arial" w:hAnsi="Arial" w:cs="Arial"/>
          <w:bCs/>
          <w:lang w:val="ru-RU"/>
        </w:rPr>
      </w:pPr>
      <w:r w:rsidRPr="00741061">
        <w:rPr>
          <w:rFonts w:ascii="Arial" w:hAnsi="Arial" w:cs="Arial"/>
          <w:bCs/>
          <w:lang w:val="ru-RU"/>
        </w:rPr>
        <w:t>Курганской области                                                                                        А.А.Васильев</w:t>
      </w:r>
    </w:p>
    <w:p w:rsidR="00741061" w:rsidRDefault="00741061" w:rsidP="00741061">
      <w:pPr>
        <w:pStyle w:val="a4"/>
        <w:spacing w:after="0"/>
        <w:jc w:val="both"/>
        <w:rPr>
          <w:rFonts w:cs="Arial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</w:p>
    <w:p w:rsidR="00741061" w:rsidRPr="00741061" w:rsidRDefault="00741061" w:rsidP="00741061">
      <w:pPr>
        <w:tabs>
          <w:tab w:val="left" w:pos="1482"/>
        </w:tabs>
        <w:rPr>
          <w:rFonts w:ascii="Arial" w:hAnsi="Arial"/>
          <w:sz w:val="18"/>
          <w:szCs w:val="18"/>
          <w:lang w:val="ru-RU"/>
        </w:rPr>
      </w:pPr>
      <w:r w:rsidRPr="00741061">
        <w:rPr>
          <w:rFonts w:ascii="Arial" w:hAnsi="Arial"/>
          <w:sz w:val="18"/>
          <w:szCs w:val="18"/>
          <w:lang w:val="ru-RU"/>
        </w:rPr>
        <w:t>Абрамов Э.Н.,</w:t>
      </w:r>
    </w:p>
    <w:p w:rsidR="00741061" w:rsidRDefault="00741061" w:rsidP="00741061">
      <w:pPr>
        <w:tabs>
          <w:tab w:val="left" w:pos="1482"/>
        </w:tabs>
        <w:rPr>
          <w:rFonts w:ascii="Arial" w:eastAsia="Andale Sans UI" w:hAnsi="Arial" w:cs="Arial"/>
          <w:kern w:val="2"/>
          <w:sz w:val="23"/>
          <w:szCs w:val="22"/>
        </w:rPr>
      </w:pPr>
      <w:r>
        <w:rPr>
          <w:rFonts w:ascii="Arial" w:hAnsi="Arial"/>
          <w:sz w:val="18"/>
          <w:szCs w:val="18"/>
        </w:rPr>
        <w:t xml:space="preserve">(3522) 42-68-76  </w:t>
      </w:r>
    </w:p>
    <w:p w:rsidR="00416391" w:rsidRDefault="00416391"/>
    <w:sectPr w:rsidR="0041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6C38"/>
    <w:multiLevelType w:val="hybridMultilevel"/>
    <w:tmpl w:val="6B96DDA6"/>
    <w:lvl w:ilvl="0" w:tplc="A4D28AE8">
      <w:start w:val="1"/>
      <w:numFmt w:val="decimal"/>
      <w:lvlText w:val="%1."/>
      <w:lvlJc w:val="left"/>
      <w:pPr>
        <w:ind w:left="252" w:hanging="360"/>
      </w:pPr>
      <w:rPr>
        <w:rFonts w:eastAsia="Andale Sans U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061"/>
    <w:rsid w:val="00416391"/>
    <w:rsid w:val="0074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10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061"/>
    <w:rPr>
      <w:color w:val="0000FF"/>
      <w:u w:val="single"/>
    </w:rPr>
  </w:style>
  <w:style w:type="paragraph" w:styleId="a4">
    <w:name w:val="Normal (Web)"/>
    <w:aliases w:val="Обычный (Web),Маркированный 2 Знак Знак Знак"/>
    <w:basedOn w:val="a"/>
    <w:uiPriority w:val="99"/>
    <w:unhideWhenUsed/>
    <w:rsid w:val="00741061"/>
    <w:pPr>
      <w:spacing w:after="60"/>
      <w:jc w:val="center"/>
      <w:outlineLvl w:val="1"/>
    </w:pPr>
    <w:rPr>
      <w:rFonts w:ascii="Arial" w:eastAsia="Times New Roman" w:hAnsi="Arial"/>
      <w:lang/>
    </w:rPr>
  </w:style>
  <w:style w:type="paragraph" w:customStyle="1" w:styleId="--3-western1">
    <w:name w:val="наименование-в-письме3-western1"/>
    <w:basedOn w:val="a"/>
    <w:rsid w:val="00741061"/>
    <w:pPr>
      <w:spacing w:before="102" w:after="119" w:line="255" w:lineRule="atLeast"/>
      <w:jc w:val="center"/>
    </w:pPr>
    <w:rPr>
      <w:rFonts w:ascii="Arial" w:eastAsia="Times New Roman" w:hAnsi="Arial" w:cs="Arial"/>
    </w:rPr>
  </w:style>
  <w:style w:type="paragraph" w:customStyle="1" w:styleId="-----western1">
    <w:name w:val="ссылка-на-номер-и-дату-western1"/>
    <w:basedOn w:val="a"/>
    <w:rsid w:val="00741061"/>
    <w:pPr>
      <w:spacing w:before="159" w:after="119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41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10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10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0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10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10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10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10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10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106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410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410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410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4106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41061"/>
    <w:rPr>
      <w:b/>
      <w:bCs/>
    </w:rPr>
  </w:style>
  <w:style w:type="character" w:styleId="ac">
    <w:name w:val="Emphasis"/>
    <w:basedOn w:val="a0"/>
    <w:uiPriority w:val="20"/>
    <w:qFormat/>
    <w:rsid w:val="0074106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41061"/>
    <w:rPr>
      <w:szCs w:val="32"/>
    </w:rPr>
  </w:style>
  <w:style w:type="paragraph" w:styleId="ae">
    <w:name w:val="List Paragraph"/>
    <w:basedOn w:val="a"/>
    <w:uiPriority w:val="34"/>
    <w:qFormat/>
    <w:rsid w:val="007410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1061"/>
    <w:rPr>
      <w:i/>
    </w:rPr>
  </w:style>
  <w:style w:type="character" w:customStyle="1" w:styleId="22">
    <w:name w:val="Цитата 2 Знак"/>
    <w:basedOn w:val="a0"/>
    <w:link w:val="21"/>
    <w:uiPriority w:val="29"/>
    <w:rsid w:val="0074106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4106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41061"/>
    <w:rPr>
      <w:b/>
      <w:i/>
      <w:sz w:val="24"/>
    </w:rPr>
  </w:style>
  <w:style w:type="character" w:styleId="af1">
    <w:name w:val="Subtle Emphasis"/>
    <w:uiPriority w:val="19"/>
    <w:qFormat/>
    <w:rsid w:val="0074106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4106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4106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4106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4106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410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kurganob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2015-02-18T08:14:00Z</dcterms:created>
  <dcterms:modified xsi:type="dcterms:W3CDTF">2015-02-18T08:17:00Z</dcterms:modified>
</cp:coreProperties>
</file>