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211"/>
        <w:gridCol w:w="4253"/>
      </w:tblGrid>
      <w:tr w:rsidR="009A3544" w:rsidRPr="009A3544" w:rsidTr="006F68DC">
        <w:tc>
          <w:tcPr>
            <w:tcW w:w="5211" w:type="dxa"/>
            <w:shd w:val="clear" w:color="auto" w:fill="auto"/>
          </w:tcPr>
          <w:p w:rsidR="009A3544" w:rsidRPr="009A3544" w:rsidRDefault="009A3544" w:rsidP="001B146C">
            <w:pPr>
              <w:jc w:val="center"/>
              <w:rPr>
                <w:rFonts w:ascii="PT Astra Sans" w:hAnsi="PT Astra Sans"/>
                <w:sz w:val="20"/>
                <w:szCs w:val="20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9A3544" w:rsidRPr="009A3544" w:rsidRDefault="009A3544" w:rsidP="006F68DC">
            <w:pPr>
              <w:jc w:val="right"/>
              <w:rPr>
                <w:rFonts w:ascii="PT Astra Sans" w:hAnsi="PT Astra Sans"/>
                <w:sz w:val="20"/>
                <w:szCs w:val="20"/>
                <w:lang w:val="en-US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093D19" w:rsidRPr="009A3544" w:rsidRDefault="00093D19" w:rsidP="00093D19">
      <w:pPr>
        <w:pStyle w:val="a3"/>
        <w:spacing w:line="276" w:lineRule="auto"/>
        <w:ind w:left="0"/>
        <w:jc w:val="center"/>
        <w:rPr>
          <w:rFonts w:ascii="PT Astra Sans" w:hAnsi="PT Astra Sans"/>
          <w:sz w:val="20"/>
          <w:szCs w:val="20"/>
        </w:rPr>
      </w:pPr>
      <w:r w:rsidRPr="009A3544">
        <w:rPr>
          <w:rFonts w:ascii="PT Astra Sans" w:hAnsi="PT Astra Sans"/>
          <w:sz w:val="20"/>
          <w:szCs w:val="20"/>
        </w:rPr>
        <w:t xml:space="preserve">I. Паспорт муниципальной программы Белозерского района </w:t>
      </w:r>
      <w:bookmarkStart w:id="0" w:name="_GoBack"/>
      <w:r w:rsidRPr="009A3544">
        <w:rPr>
          <w:rFonts w:ascii="PT Astra Sans" w:hAnsi="PT Astra Sans"/>
          <w:sz w:val="20"/>
          <w:szCs w:val="20"/>
        </w:rPr>
        <w:t xml:space="preserve">«Развитие образования в Белозерском районе» </w:t>
      </w:r>
      <w:bookmarkStart w:id="1" w:name="на_2021-2024_годы"/>
      <w:bookmarkEnd w:id="1"/>
      <w:r w:rsidRPr="009A3544">
        <w:rPr>
          <w:rFonts w:ascii="PT Astra Sans" w:hAnsi="PT Astra Sans"/>
          <w:sz w:val="20"/>
          <w:szCs w:val="20"/>
        </w:rPr>
        <w:t>на 2021-2024 годы</w:t>
      </w:r>
      <w:bookmarkEnd w:id="0"/>
    </w:p>
    <w:tbl>
      <w:tblPr>
        <w:tblStyle w:val="TableNormal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8"/>
        <w:gridCol w:w="7941"/>
      </w:tblGrid>
      <w:tr w:rsidR="00093D19" w:rsidRPr="009A3544" w:rsidTr="00311780">
        <w:trPr>
          <w:trHeight w:val="1016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D19" w:rsidRPr="009A3544" w:rsidRDefault="00093D19" w:rsidP="00311780">
            <w:pPr>
              <w:pStyle w:val="TableParagraph"/>
              <w:spacing w:line="315" w:lineRule="exact"/>
              <w:ind w:left="110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D19" w:rsidRPr="009A3544" w:rsidRDefault="00093D19" w:rsidP="00311780">
            <w:pPr>
              <w:pStyle w:val="TableParagraph"/>
              <w:spacing w:line="321" w:lineRule="exact"/>
              <w:ind w:left="142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Муниципальная программа Белозерского района «Развитие образования в Белозерском районе» на 2021-2024 годы (далее – Программа)</w:t>
            </w:r>
          </w:p>
        </w:tc>
      </w:tr>
      <w:tr w:rsidR="00093D19" w:rsidRPr="009A3544" w:rsidTr="00311780">
        <w:trPr>
          <w:trHeight w:val="1016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19" w:rsidRPr="009A3544" w:rsidRDefault="00093D19" w:rsidP="00311780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Цели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19" w:rsidRPr="009A3544" w:rsidRDefault="00093D19" w:rsidP="00311780">
            <w:pPr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гражданина, создание условий для успешной социализации и самореализации детей и молодежи</w:t>
            </w:r>
          </w:p>
        </w:tc>
      </w:tr>
      <w:tr w:rsidR="00093D19" w:rsidRPr="009A3544" w:rsidTr="00311780">
        <w:trPr>
          <w:trHeight w:val="1016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19" w:rsidRPr="009A3544" w:rsidRDefault="00093D19" w:rsidP="00311780">
            <w:pPr>
              <w:pStyle w:val="TableParagraph"/>
              <w:spacing w:line="315" w:lineRule="exact"/>
              <w:ind w:left="110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Задачи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19" w:rsidRPr="009A3544" w:rsidRDefault="00093D19" w:rsidP="00311780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left="254" w:right="283" w:firstLine="31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1. Развитие системы дошкольного образования, в том числе обеспечение доступности дошкольного образования.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left="254" w:right="283" w:firstLine="31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2. Модернизация содержания образования и образовательной среды в системе общего образования.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left="254" w:right="283" w:firstLine="31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3. Совершенствование муниципальной системы оценки качества образования и образовательных результатов.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left="254" w:right="283" w:firstLine="31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4. Обеспечение условий для организации горячего питания обучающихся, формирование у обучающихся понимания ценности правильного и здорового питания. </w:t>
            </w:r>
          </w:p>
          <w:p w:rsidR="00093D19" w:rsidRPr="009A3544" w:rsidRDefault="00093D19" w:rsidP="00311780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left="254" w:right="283" w:firstLine="31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5.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лёгкость и оперативность смены осваиваемых образовательных программ.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left="254" w:right="283" w:firstLine="31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6. Создание единого воспитательного пространства, развивающего потенциал сфер государственной политики в области воспитания и дополнительного образования, социальной поддержки детей и подростков (молодежи).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left="254" w:right="283" w:firstLine="31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7. Создание условий для обеспечения отдыха, оздоровления и организованного досуга детей и молодежи в каникулярное время.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left="254" w:right="283" w:firstLine="31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8. Обеспечение условий для развития и интеграции в общество детей-сирот и детей, оставшихся без попечения родителей, детей с ограниченными возможностями здоровья, развитие семейных форм устройства детей.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396"/>
                <w:tab w:val="left" w:pos="538"/>
                <w:tab w:val="left" w:pos="6970"/>
              </w:tabs>
              <w:ind w:left="254" w:right="283" w:firstLine="31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9. Обновление состава и компетенций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396"/>
                <w:tab w:val="left" w:pos="538"/>
              </w:tabs>
              <w:ind w:left="254" w:right="283" w:firstLine="31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10. Совершенствование механизмов и методов управления в системе образования.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396"/>
                <w:tab w:val="left" w:pos="538"/>
              </w:tabs>
              <w:ind w:left="254" w:right="283" w:firstLine="31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11. Достижение результатов, установленных национальным проектом «Образование».</w:t>
            </w:r>
          </w:p>
        </w:tc>
      </w:tr>
      <w:tr w:rsidR="00093D19" w:rsidRPr="009A3544" w:rsidTr="00311780">
        <w:trPr>
          <w:trHeight w:val="1016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19" w:rsidRPr="009A3544" w:rsidRDefault="00093D19" w:rsidP="00311780">
            <w:pPr>
              <w:pStyle w:val="TableParagraph"/>
              <w:spacing w:line="315" w:lineRule="exact"/>
              <w:ind w:left="110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Заказчик муниципальной 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19" w:rsidRPr="009A3544" w:rsidRDefault="00093D19" w:rsidP="00311780">
            <w:pPr>
              <w:pStyle w:val="TableParagraph"/>
              <w:spacing w:line="276" w:lineRule="auto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Администрация Белозерского района</w:t>
            </w:r>
          </w:p>
        </w:tc>
      </w:tr>
      <w:tr w:rsidR="00093D19" w:rsidRPr="009A3544" w:rsidTr="00311780">
        <w:trPr>
          <w:trHeight w:val="1016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19" w:rsidRPr="009A3544" w:rsidRDefault="00093D19" w:rsidP="00311780">
            <w:pPr>
              <w:pStyle w:val="TableParagraph"/>
              <w:spacing w:line="315" w:lineRule="exact"/>
              <w:ind w:left="110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Исполнитель – координатор муниципальной 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19" w:rsidRPr="009A3544" w:rsidRDefault="00093D19" w:rsidP="00311780">
            <w:pPr>
              <w:pStyle w:val="TableParagraph"/>
              <w:tabs>
                <w:tab w:val="left" w:pos="396"/>
                <w:tab w:val="left" w:pos="538"/>
              </w:tabs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 Отдел образования Администрации Белозерского района</w:t>
            </w:r>
          </w:p>
        </w:tc>
      </w:tr>
      <w:tr w:rsidR="00093D19" w:rsidRPr="009A3544" w:rsidTr="00311780">
        <w:trPr>
          <w:trHeight w:val="1016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19" w:rsidRPr="009A3544" w:rsidRDefault="00093D19" w:rsidP="00311780">
            <w:pPr>
              <w:pStyle w:val="TableParagraph"/>
              <w:spacing w:line="315" w:lineRule="exact"/>
              <w:ind w:left="110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Разработчик</w:t>
            </w:r>
            <w:proofErr w:type="spellEnd"/>
            <w:r w:rsidRPr="009A3544">
              <w:rPr>
                <w:rFonts w:ascii="PT Astra Sans" w:hAnsi="PT Astra Sans"/>
                <w:sz w:val="20"/>
                <w:szCs w:val="20"/>
              </w:rPr>
              <w:t xml:space="preserve"> </w:t>
            </w: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муниципальной</w:t>
            </w:r>
            <w:proofErr w:type="spellEnd"/>
            <w:r w:rsidRPr="009A3544">
              <w:rPr>
                <w:rFonts w:ascii="PT Astra Sans" w:hAnsi="PT Astra Sans"/>
                <w:sz w:val="20"/>
                <w:szCs w:val="20"/>
              </w:rPr>
              <w:t xml:space="preserve"> </w:t>
            </w: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19" w:rsidRPr="009A3544" w:rsidRDefault="00093D19" w:rsidP="00311780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left="25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Отдел образования Администрации Белозерского района </w:t>
            </w:r>
          </w:p>
        </w:tc>
      </w:tr>
      <w:tr w:rsidR="00093D19" w:rsidRPr="009A3544" w:rsidTr="00311780">
        <w:trPr>
          <w:trHeight w:val="739"/>
        </w:trPr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93D19" w:rsidRPr="009A3544" w:rsidRDefault="00093D19" w:rsidP="00311780">
            <w:pPr>
              <w:pStyle w:val="TableParagraph"/>
              <w:spacing w:before="48"/>
              <w:ind w:left="110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И</w:t>
            </w: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сполнител</w:t>
            </w:r>
            <w:proofErr w:type="spellEnd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и</w:t>
            </w:r>
            <w:r w:rsidRPr="009A3544">
              <w:rPr>
                <w:rFonts w:ascii="PT Astra Sans" w:hAnsi="PT Astra Sans"/>
                <w:sz w:val="20"/>
                <w:szCs w:val="20"/>
              </w:rPr>
              <w:t xml:space="preserve"> </w:t>
            </w: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муниципальной</w:t>
            </w:r>
            <w:proofErr w:type="spellEnd"/>
            <w:r w:rsidRPr="009A3544">
              <w:rPr>
                <w:rFonts w:ascii="PT Astra Sans" w:hAnsi="PT Astra Sans"/>
                <w:sz w:val="20"/>
                <w:szCs w:val="20"/>
              </w:rPr>
              <w:t xml:space="preserve"> </w:t>
            </w: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D19" w:rsidRPr="009A3544" w:rsidRDefault="00093D19" w:rsidP="00311780">
            <w:pPr>
              <w:pStyle w:val="TableParagraph"/>
              <w:spacing w:line="315" w:lineRule="exact"/>
              <w:ind w:left="142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Отдел образования Администрации Белозерского района</w:t>
            </w:r>
          </w:p>
        </w:tc>
      </w:tr>
      <w:tr w:rsidR="00093D19" w:rsidRPr="009A3544" w:rsidTr="00311780">
        <w:trPr>
          <w:trHeight w:val="738"/>
        </w:trPr>
        <w:tc>
          <w:tcPr>
            <w:tcW w:w="1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D19" w:rsidRPr="009A3544" w:rsidRDefault="00093D19" w:rsidP="00311780">
            <w:pPr>
              <w:pStyle w:val="TableParagraph"/>
              <w:spacing w:line="315" w:lineRule="exact"/>
              <w:ind w:left="110"/>
              <w:rPr>
                <w:rFonts w:ascii="PT Astra Sans" w:hAnsi="PT Astra Sans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spacing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Управление по социальной политике Администрации Белозерского района (далее – Управление по социальной политике); 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spacing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Отдел экономики и инвестиционной деятельности Администрации Белозерского района (далее – Отдел экономики);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spacing w:before="1"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lastRenderedPageBreak/>
              <w:t>Отдел жилищно-коммунального хозяйства и градостроительной деятельности Администрации Белозерского района (далее – Отдел ЖКХ);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spacing w:before="1"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Отдел имущественных и земельных отношений Администрации Белозерского района (далее - Отдел имущественных отношений)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spacing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Финансовый отдел Администрации Белозерского района (далее – Финансовый отдел);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spacing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Муниципальное казенное учреждение дополнительного образования «Белозерский детско–юношеский центр» (далее – ДЮЦ);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spacing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Муниципальное казенное учреждение дополнительного образования «Белозерская районная детско-юношеская спортивная школа» (далее – ДЮСШ);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  <w:tab w:val="left" w:pos="3010"/>
                <w:tab w:val="left" w:pos="5887"/>
              </w:tabs>
              <w:spacing w:before="9"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Муниципальные</w:t>
            </w: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ab/>
              <w:t>образовательные учреждения Белозерского района (далее – образовательные учреждения);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spacing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Отдел культуры Администрации Белозерского района (далее – Отдел культуры);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spacing w:before="47"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Сектор социальной политики Администрации Белозерского района (далее – Сектор социальной политики);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  <w:tab w:val="left" w:pos="3010"/>
                <w:tab w:val="left" w:pos="5887"/>
              </w:tabs>
              <w:spacing w:before="9"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Муниципальные учреждения культуры Белозерского района (далее - учреждения культуры);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spacing w:before="11"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Межмуниципальный отдел Министерства внутренних дел Российской Федерации «</w:t>
            </w:r>
            <w:proofErr w:type="spellStart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Варгашинский</w:t>
            </w:r>
            <w:proofErr w:type="spellEnd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» (по согласованию);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spacing w:before="1"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Государственное бюджетное учреждение «Белозерская центральная районная больница» (по согласованию);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spacing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Государственное казенное учреждение «Центр занятости населения Белозерского и </w:t>
            </w:r>
            <w:proofErr w:type="spellStart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Варгашинского</w:t>
            </w:r>
            <w:proofErr w:type="spellEnd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 районов Курганской области» (по согласованию);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spacing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Государственное бюджетное учреждение «Комплексный центр социального обслуживания населения по </w:t>
            </w:r>
            <w:proofErr w:type="spellStart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Кетовскому</w:t>
            </w:r>
            <w:proofErr w:type="spellEnd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, Белозерскому и </w:t>
            </w:r>
            <w:proofErr w:type="spellStart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Половинскому</w:t>
            </w:r>
            <w:proofErr w:type="spellEnd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 районам» (по согласованию);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spacing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ab/>
              <w:t>Главы муниципальных образований (по согласованию);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1"/>
              </w:numPr>
              <w:tabs>
                <w:tab w:val="left" w:pos="142"/>
              </w:tabs>
              <w:spacing w:line="252" w:lineRule="auto"/>
              <w:ind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Государственное автономное образовательное учреждение дополнительного профессионального образования «Институт развития образования и социальных технологий» (далее – ИРОСТ) (по согласованию);</w:t>
            </w:r>
          </w:p>
        </w:tc>
      </w:tr>
      <w:tr w:rsidR="00093D19" w:rsidRPr="009A3544" w:rsidTr="00311780">
        <w:trPr>
          <w:trHeight w:val="827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D19" w:rsidRPr="009A3544" w:rsidRDefault="00093D19" w:rsidP="00311780">
            <w:pPr>
              <w:pStyle w:val="TableParagraph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lastRenderedPageBreak/>
              <w:t>Целевые</w:t>
            </w:r>
            <w:proofErr w:type="spellEnd"/>
            <w:r w:rsidRPr="009A3544">
              <w:rPr>
                <w:rFonts w:ascii="PT Astra Sans" w:hAnsi="PT Astra Sans"/>
                <w:sz w:val="20"/>
                <w:szCs w:val="20"/>
              </w:rPr>
              <w:t xml:space="preserve"> </w:t>
            </w: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индикаторы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D19" w:rsidRPr="009A3544" w:rsidRDefault="00093D19" w:rsidP="00311780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1. Удельный вес численности населения в возрасте от 5 до 18 лет, охваченного общим образованием, в общей численности населения в возрасте от 5 до 18 лет (процент).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2. Отношение численности детей в возрасте от 1,5 до 7 лет, получающих дошкольное образование в текущем году, к сумме численности детей в возрасте от 1,5 до 7 лет, получающих дошкольное образование в текущем году, и численности детей</w:t>
            </w:r>
            <w:r w:rsidRPr="009A3544">
              <w:rPr>
                <w:rFonts w:ascii="PT Astra Sans" w:hAnsi="PT Astra Sans"/>
                <w:spacing w:val="-29"/>
                <w:sz w:val="20"/>
                <w:szCs w:val="20"/>
                <w:lang w:val="ru-RU"/>
              </w:rPr>
              <w:t xml:space="preserve"> </w:t>
            </w: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в возрасте от 1,5 до 7 лет, находящихся в очереди на получение в текущем году</w:t>
            </w:r>
            <w:r w:rsidRPr="009A3544">
              <w:rPr>
                <w:rFonts w:ascii="PT Astra Sans" w:hAnsi="PT Astra Sans"/>
                <w:spacing w:val="-2"/>
                <w:sz w:val="20"/>
                <w:szCs w:val="20"/>
                <w:lang w:val="ru-RU"/>
              </w:rPr>
              <w:t xml:space="preserve"> </w:t>
            </w: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дошкольного образования (процент).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3. Отношение среднего балла единого государственного экзамена (в расчете на 2 обязательных предмета) в общеобразовательной организации с лучшими результатами единого государственного экзамена к среднему баллу единого государственного экзамена (в расчете на 2 обязательных предмета) в общеобразовательной организации с худшими результатами единого государственного экзамена (процент).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4. Удельный вес численности обучающихся муниципальных общеобразовательных организациях, которым предоставлена возможность обучаться в соответствии с требованиями ФГОС, в общей численности обучающихся муниципальных общеобразовательных организаций (процент)</w:t>
            </w:r>
          </w:p>
          <w:p w:rsidR="00093D19" w:rsidRPr="009A3544" w:rsidRDefault="00093D19" w:rsidP="00311780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5. Удельный вес численности обучающихся, занимающихся в одну смену, в общей </w:t>
            </w:r>
            <w:proofErr w:type="gramStart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численности</w:t>
            </w:r>
            <w:proofErr w:type="gramEnd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 обучающихся в общеобразовательных организациях, в том числе обучающихся по образовательным программам начального общего, основного общего, среднего общего образования (процент.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6. Удельный вес численности обучающихся по образовательным программам начального общего образования, охваченных горячим питанием, в общей </w:t>
            </w:r>
            <w:proofErr w:type="gramStart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численности</w:t>
            </w:r>
            <w:proofErr w:type="gramEnd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 обучающихся по образовательным программам начального общего образования в образовательных организациях Белозерского района.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7. Удельный вес численности обучающихся, охваченных горячим питанием, в общей </w:t>
            </w:r>
            <w:proofErr w:type="gramStart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численности</w:t>
            </w:r>
            <w:proofErr w:type="gramEnd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 обучающихся в образовательных организациях Белозерского района.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lastRenderedPageBreak/>
              <w:t>8. Удельный вес численности обучающихся с ограниченными возможностями здоровья (далее – ОВЗ), обучающихся на дому, получающих поддержку из районного бюджета.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9. Удельный вес численности детей и молодежи, участвующих в деятельности детских и молодежных общественных объединений, в общей </w:t>
            </w:r>
            <w:proofErr w:type="gramStart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численности</w:t>
            </w:r>
            <w:proofErr w:type="gramEnd"/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 обучающихся в общеобразовательных организациях (процент).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821"/>
                <w:tab w:val="left" w:pos="1175"/>
                <w:tab w:val="left" w:pos="1363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10. Доля родителей обучающихся общеобразовательных организаций, вовлеченных в управление учебно- воспитательным процессом и социально значимую деятельность, от общего числа родителей обучающихся общеобразовательных организаций (процент).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821"/>
                <w:tab w:val="left" w:pos="1243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11. Доля детей, охваченных образовательными программами дополнительного образования детей, в общей численности детей и молодежи от 5 до 18 лет (процент).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12. Доля детей в возрасте от 5 до 18 лет, использующих сертификаты дополнительного образования, в общей численности детей и молодежи от 5 до 18 лет, имеющих право на получение дополнительного образования в рамках системы персонифицированного финансирования (процент).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13. Доля детей в возрасте от 6 до 18 лет, охваченных организованными формами отдыха, оздоровления и досуга в каникулярное время от общего количества детей (процент).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14. Доля детей-сирот и детей, оставшихся без попечения родителей, переданных на воспитание в семьи граждан, от общего количества детей-сирот и детей, оставшихся без попечения родителей (процент).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15. Доля детей по категориям места жительства, социального и имущественного статуса, состояния здоровья, охваченных моделями и программами социализации, от общего количества по указанным категориям, в том числе доля детей-сирот и детей, оставшихся без попечения родителей, охваченных программами психолого-педагогического и медико-социального сопровождения, в общем количестве детей-сирот и детей, оставшихся без попечения родителей (процент).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16. Удельный вес численности учителей в возрасте до 35 лет в общей численности учителей общеобразовательных организаций Белозерского района (процент).</w:t>
            </w:r>
          </w:p>
          <w:p w:rsidR="00093D19" w:rsidRPr="009A3544" w:rsidRDefault="00093D19" w:rsidP="00311780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left="283" w:right="283" w:firstLine="284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17. Доля педагогических работников образовательных организаций, прошедших переподготовку или повышение квалификации по вопросам образования обучающихся с ОВЗ и инвалидностью, в общей численности педагогических работников, работающих с детьми с ОВЗ (процент).</w:t>
            </w:r>
          </w:p>
        </w:tc>
      </w:tr>
      <w:tr w:rsidR="00093D19" w:rsidRPr="009A3544" w:rsidTr="00311780">
        <w:trPr>
          <w:trHeight w:val="827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D19" w:rsidRPr="009A3544" w:rsidRDefault="00093D19" w:rsidP="00311780">
            <w:pPr>
              <w:pStyle w:val="TableParagraph"/>
              <w:spacing w:line="315" w:lineRule="exact"/>
              <w:ind w:left="110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lastRenderedPageBreak/>
              <w:t>Сроки</w:t>
            </w:r>
            <w:proofErr w:type="spellEnd"/>
          </w:p>
          <w:p w:rsidR="00093D19" w:rsidRPr="009A3544" w:rsidRDefault="00093D19" w:rsidP="00311780">
            <w:pPr>
              <w:pStyle w:val="TableParagraph"/>
              <w:ind w:left="110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реализации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D19" w:rsidRPr="009A3544" w:rsidRDefault="00093D19" w:rsidP="00311780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left="470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 xml:space="preserve">2021-2024 </w:t>
            </w: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годы</w:t>
            </w:r>
            <w:proofErr w:type="spellEnd"/>
            <w:r w:rsidR="009A3544"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 </w:t>
            </w:r>
          </w:p>
        </w:tc>
      </w:tr>
      <w:tr w:rsidR="00093D19" w:rsidRPr="009A3544" w:rsidTr="00311780">
        <w:trPr>
          <w:trHeight w:val="827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19" w:rsidRPr="009A3544" w:rsidRDefault="00093D19" w:rsidP="00311780">
            <w:pPr>
              <w:pStyle w:val="TableParagraph"/>
              <w:spacing w:line="315" w:lineRule="exact"/>
              <w:ind w:left="110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Подпрограммы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19" w:rsidRPr="009A3544" w:rsidRDefault="00093D19" w:rsidP="00311780">
            <w:pPr>
              <w:pStyle w:val="TableParagraph"/>
              <w:spacing w:line="315" w:lineRule="exact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1. «Развитие общего образования».</w:t>
            </w:r>
          </w:p>
          <w:p w:rsidR="00093D19" w:rsidRPr="009A3544" w:rsidRDefault="00093D19" w:rsidP="00311780">
            <w:pPr>
              <w:pStyle w:val="TableParagraph"/>
              <w:spacing w:line="315" w:lineRule="exact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2. «Реализация государственной политики в области воспитания, дополнительного образования, отдыха и оздоровления детей и молодежи».</w:t>
            </w:r>
          </w:p>
          <w:p w:rsidR="00093D19" w:rsidRPr="009A3544" w:rsidRDefault="00093D19" w:rsidP="00311780">
            <w:pPr>
              <w:pStyle w:val="TableParagraph"/>
              <w:spacing w:line="276" w:lineRule="auto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3. «Защита прав детей, государственная поддержка детей – сирот и детей, оставшихся без попечения родителей, детей с особыми нуждами».</w:t>
            </w:r>
          </w:p>
          <w:p w:rsidR="00093D19" w:rsidRPr="009A3544" w:rsidRDefault="00093D19" w:rsidP="00311780">
            <w:pPr>
              <w:pStyle w:val="TableParagraph"/>
              <w:spacing w:line="276" w:lineRule="auto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4. «Кадровое обеспечение системы образования Белозерского района».</w:t>
            </w:r>
          </w:p>
          <w:p w:rsidR="00093D19" w:rsidRPr="009A3544" w:rsidRDefault="00093D19" w:rsidP="00311780">
            <w:pPr>
              <w:pStyle w:val="TableParagraph"/>
              <w:spacing w:line="276" w:lineRule="auto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5. «Создание новых мест в образовательных организациях Белозерского района в соответствии с прогнозируемой потребностью и современными условиями обучения».</w:t>
            </w:r>
          </w:p>
        </w:tc>
      </w:tr>
      <w:tr w:rsidR="00093D19" w:rsidRPr="009A3544" w:rsidTr="00311780">
        <w:trPr>
          <w:trHeight w:val="827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D19" w:rsidRPr="009A3544" w:rsidRDefault="00093D19" w:rsidP="00311780">
            <w:pPr>
              <w:pStyle w:val="TableParagraph"/>
              <w:spacing w:line="315" w:lineRule="exact"/>
              <w:ind w:left="110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Объемы</w:t>
            </w:r>
            <w:proofErr w:type="spellEnd"/>
            <w:r w:rsidRPr="009A3544">
              <w:rPr>
                <w:rFonts w:ascii="PT Astra Sans" w:hAnsi="PT Astra Sans"/>
                <w:sz w:val="20"/>
                <w:szCs w:val="20"/>
              </w:rPr>
              <w:t xml:space="preserve"> </w:t>
            </w: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бюджетных</w:t>
            </w:r>
            <w:proofErr w:type="spellEnd"/>
            <w:r w:rsidRPr="009A3544">
              <w:rPr>
                <w:rFonts w:ascii="PT Astra Sans" w:hAnsi="PT Astra Sans"/>
                <w:sz w:val="20"/>
                <w:szCs w:val="20"/>
              </w:rPr>
              <w:t xml:space="preserve"> </w:t>
            </w: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ассигнований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D19" w:rsidRPr="009A3544" w:rsidRDefault="00093D19" w:rsidP="00311780">
            <w:pPr>
              <w:pStyle w:val="TableParagraph"/>
              <w:tabs>
                <w:tab w:val="left" w:pos="2451"/>
                <w:tab w:val="left" w:pos="3843"/>
                <w:tab w:val="left" w:pos="5982"/>
              </w:tabs>
              <w:spacing w:line="276" w:lineRule="auto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Планируемый объем бюджетного финансирования муниципальной программы на 2021-2024</w:t>
            </w:r>
            <w:r w:rsidRPr="009A3544">
              <w:rPr>
                <w:rFonts w:ascii="PT Astra Sans" w:hAnsi="PT Astra Sans"/>
                <w:spacing w:val="3"/>
                <w:sz w:val="20"/>
                <w:szCs w:val="20"/>
                <w:lang w:val="ru-RU"/>
              </w:rPr>
              <w:t xml:space="preserve"> </w:t>
            </w: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годы:</w:t>
            </w:r>
          </w:p>
          <w:p w:rsidR="00093D19" w:rsidRPr="009A3544" w:rsidRDefault="00093D19" w:rsidP="00311780">
            <w:pPr>
              <w:pStyle w:val="TableParagraph"/>
              <w:spacing w:line="276" w:lineRule="auto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за счет средств местного бюджета –681592,0 тыс. рублей, в том числе по годам:</w:t>
            </w:r>
          </w:p>
          <w:p w:rsidR="00093D19" w:rsidRPr="009A3544" w:rsidRDefault="00093D19" w:rsidP="00311780">
            <w:pPr>
              <w:pStyle w:val="TableParagraph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2021 год - 170450,5 тыс. рублей;</w:t>
            </w:r>
          </w:p>
          <w:p w:rsidR="00093D19" w:rsidRPr="009A3544" w:rsidRDefault="00093D19" w:rsidP="00311780">
            <w:pPr>
              <w:pStyle w:val="TableParagraph"/>
              <w:spacing w:before="43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2022 год – 170380,5 тыс. рублей;</w:t>
            </w:r>
          </w:p>
          <w:p w:rsidR="00093D19" w:rsidRPr="009A3544" w:rsidRDefault="00093D19" w:rsidP="00311780">
            <w:pPr>
              <w:pStyle w:val="TableParagraph"/>
              <w:spacing w:before="48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2023 год – 170380,5 тыс.</w:t>
            </w:r>
            <w:r w:rsidRPr="009A3544">
              <w:rPr>
                <w:rFonts w:ascii="PT Astra Sans" w:hAnsi="PT Astra Sans"/>
                <w:spacing w:val="-8"/>
                <w:sz w:val="20"/>
                <w:szCs w:val="20"/>
                <w:lang w:val="ru-RU"/>
              </w:rPr>
              <w:t xml:space="preserve"> </w:t>
            </w: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рублей;</w:t>
            </w:r>
          </w:p>
          <w:p w:rsidR="00093D19" w:rsidRPr="009A3544" w:rsidRDefault="00093D19" w:rsidP="00311780">
            <w:pPr>
              <w:pStyle w:val="TableParagraph"/>
              <w:spacing w:before="48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2024 год – 170380,5 тыс.</w:t>
            </w:r>
            <w:r w:rsidRPr="009A3544">
              <w:rPr>
                <w:rFonts w:ascii="PT Astra Sans" w:hAnsi="PT Astra Sans"/>
                <w:spacing w:val="-8"/>
                <w:sz w:val="20"/>
                <w:szCs w:val="20"/>
                <w:lang w:val="ru-RU"/>
              </w:rPr>
              <w:t xml:space="preserve"> </w:t>
            </w: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рублей;</w:t>
            </w:r>
          </w:p>
          <w:p w:rsidR="00093D19" w:rsidRPr="009A3544" w:rsidRDefault="00093D19" w:rsidP="00311780">
            <w:pPr>
              <w:pStyle w:val="TableParagraph"/>
              <w:tabs>
                <w:tab w:val="left" w:pos="565"/>
                <w:tab w:val="left" w:pos="1294"/>
                <w:tab w:val="left" w:pos="2420"/>
                <w:tab w:val="left" w:pos="3979"/>
                <w:tab w:val="left" w:pos="5259"/>
                <w:tab w:val="left" w:pos="5859"/>
                <w:tab w:val="left" w:pos="7846"/>
              </w:tabs>
              <w:spacing w:before="47" w:line="276" w:lineRule="auto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за счет средств областного бюджета (по согласованию) </w:t>
            </w:r>
            <w:r w:rsidRPr="009A3544">
              <w:rPr>
                <w:rFonts w:ascii="PT Astra Sans" w:hAnsi="PT Astra Sans"/>
                <w:spacing w:val="-18"/>
                <w:sz w:val="20"/>
                <w:szCs w:val="20"/>
                <w:lang w:val="ru-RU"/>
              </w:rPr>
              <w:t xml:space="preserve">– </w:t>
            </w: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631427,0 тыс. руб., в том числе по</w:t>
            </w:r>
            <w:r w:rsidRPr="009A3544">
              <w:rPr>
                <w:rFonts w:ascii="PT Astra Sans" w:hAnsi="PT Astra Sans"/>
                <w:spacing w:val="10"/>
                <w:sz w:val="20"/>
                <w:szCs w:val="20"/>
                <w:lang w:val="ru-RU"/>
              </w:rPr>
              <w:t xml:space="preserve"> </w:t>
            </w: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годам:</w:t>
            </w:r>
          </w:p>
          <w:p w:rsidR="00093D19" w:rsidRPr="009A3544" w:rsidRDefault="00093D19" w:rsidP="00311780">
            <w:pPr>
              <w:pStyle w:val="TableParagraph"/>
              <w:spacing w:line="276" w:lineRule="auto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2021 год - 200999,5 тыс. рублей;</w:t>
            </w:r>
          </w:p>
          <w:p w:rsidR="00093D19" w:rsidRPr="009A3544" w:rsidRDefault="00093D19" w:rsidP="00311780">
            <w:pPr>
              <w:pStyle w:val="TableParagraph"/>
              <w:spacing w:line="276" w:lineRule="auto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2022 год - 143492,1 тыс. рублей;</w:t>
            </w:r>
          </w:p>
          <w:p w:rsidR="00093D19" w:rsidRPr="009A3544" w:rsidRDefault="00093D19" w:rsidP="00311780">
            <w:pPr>
              <w:pStyle w:val="TableParagraph"/>
              <w:spacing w:line="276" w:lineRule="auto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lastRenderedPageBreak/>
              <w:t>2023 год - 143467,7 тыс.</w:t>
            </w:r>
            <w:r w:rsidRPr="009A3544">
              <w:rPr>
                <w:rFonts w:ascii="PT Astra Sans" w:hAnsi="PT Astra Sans"/>
                <w:spacing w:val="-2"/>
                <w:sz w:val="20"/>
                <w:szCs w:val="20"/>
                <w:lang w:val="ru-RU"/>
              </w:rPr>
              <w:t xml:space="preserve"> </w:t>
            </w:r>
            <w:r w:rsidRPr="009A3544">
              <w:rPr>
                <w:rFonts w:ascii="PT Astra Sans" w:hAnsi="PT Astra Sans"/>
                <w:spacing w:val="-3"/>
                <w:sz w:val="20"/>
                <w:szCs w:val="20"/>
                <w:lang w:val="ru-RU"/>
              </w:rPr>
              <w:t>рублей;</w:t>
            </w:r>
          </w:p>
          <w:p w:rsidR="00093D19" w:rsidRPr="009A3544" w:rsidRDefault="00093D19" w:rsidP="00311780">
            <w:pPr>
              <w:pStyle w:val="TableParagraph"/>
              <w:spacing w:line="316" w:lineRule="exact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2024 год – 143467,7 тыс.</w:t>
            </w:r>
            <w:r w:rsidRPr="009A3544">
              <w:rPr>
                <w:rFonts w:ascii="PT Astra Sans" w:hAnsi="PT Astra Sans"/>
                <w:spacing w:val="-8"/>
                <w:sz w:val="20"/>
                <w:szCs w:val="20"/>
                <w:lang w:val="ru-RU"/>
              </w:rPr>
              <w:t xml:space="preserve"> </w:t>
            </w: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рублей;</w:t>
            </w:r>
          </w:p>
          <w:p w:rsidR="00093D19" w:rsidRPr="009A3544" w:rsidRDefault="00093D19" w:rsidP="00311780">
            <w:pPr>
              <w:pStyle w:val="TableParagraph"/>
              <w:spacing w:before="46" w:line="276" w:lineRule="auto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за счет средств федерального бюджета (по согласованию) – 86569,2 тыс. руб., в том числе по годам:</w:t>
            </w:r>
          </w:p>
          <w:p w:rsidR="00093D19" w:rsidRPr="009A3544" w:rsidRDefault="00093D19" w:rsidP="00311780">
            <w:pPr>
              <w:pStyle w:val="TableParagraph"/>
              <w:spacing w:line="321" w:lineRule="exact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2021 год - 21642,3 тыс. рублей;</w:t>
            </w:r>
          </w:p>
          <w:p w:rsidR="00093D19" w:rsidRPr="009A3544" w:rsidRDefault="00093D19" w:rsidP="00311780">
            <w:pPr>
              <w:pStyle w:val="TableParagraph"/>
              <w:spacing w:before="48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2022 год – 21642,3 тыс. рублей;</w:t>
            </w:r>
          </w:p>
          <w:p w:rsidR="00093D19" w:rsidRPr="009A3544" w:rsidRDefault="00093D19" w:rsidP="00311780">
            <w:pPr>
              <w:pStyle w:val="TableParagraph"/>
              <w:spacing w:before="48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2023 год - 21642,3 тыс. рублей;</w:t>
            </w:r>
          </w:p>
          <w:p w:rsidR="00093D19" w:rsidRPr="009A3544" w:rsidRDefault="00093D19" w:rsidP="00311780">
            <w:pPr>
              <w:pStyle w:val="TableParagraph"/>
              <w:spacing w:before="52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2024 год – 21642,3 тыс. рублей;</w:t>
            </w:r>
          </w:p>
          <w:p w:rsidR="00093D19" w:rsidRPr="009A3544" w:rsidRDefault="00093D19" w:rsidP="00311780">
            <w:pPr>
              <w:pStyle w:val="TableParagraph"/>
              <w:spacing w:before="48" w:line="276" w:lineRule="auto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за счет внебюджетных средств (по согласованию) – 0,0 тыс. руб., в том числе по годам:</w:t>
            </w:r>
          </w:p>
          <w:p w:rsidR="00093D19" w:rsidRPr="009A3544" w:rsidRDefault="00093D19" w:rsidP="00311780">
            <w:pPr>
              <w:pStyle w:val="TableParagraph"/>
              <w:spacing w:line="276" w:lineRule="auto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2021 год - 0,0 тыс. рублей; </w:t>
            </w:r>
          </w:p>
          <w:p w:rsidR="00093D19" w:rsidRPr="009A3544" w:rsidRDefault="00093D19" w:rsidP="00311780">
            <w:pPr>
              <w:pStyle w:val="TableParagraph"/>
              <w:spacing w:line="276" w:lineRule="auto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2022 год - 0,0 тыс. рублей;</w:t>
            </w:r>
          </w:p>
          <w:p w:rsidR="00093D19" w:rsidRPr="009A3544" w:rsidRDefault="00093D19" w:rsidP="00311780">
            <w:pPr>
              <w:pStyle w:val="TableParagraph"/>
              <w:spacing w:line="276" w:lineRule="auto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2023 год - 0,0 тыс.</w:t>
            </w:r>
            <w:r w:rsidRPr="009A3544">
              <w:rPr>
                <w:rFonts w:ascii="PT Astra Sans" w:hAnsi="PT Astra Sans"/>
                <w:spacing w:val="-2"/>
                <w:sz w:val="20"/>
                <w:szCs w:val="20"/>
                <w:lang w:val="ru-RU"/>
              </w:rPr>
              <w:t xml:space="preserve"> </w:t>
            </w:r>
            <w:r w:rsidRPr="009A3544">
              <w:rPr>
                <w:rFonts w:ascii="PT Astra Sans" w:hAnsi="PT Astra Sans"/>
                <w:spacing w:val="-3"/>
                <w:sz w:val="20"/>
                <w:szCs w:val="20"/>
                <w:lang w:val="ru-RU"/>
              </w:rPr>
              <w:t>рублей;</w:t>
            </w:r>
          </w:p>
          <w:p w:rsidR="00093D19" w:rsidRPr="009A3544" w:rsidRDefault="00093D19" w:rsidP="00311780">
            <w:pPr>
              <w:pStyle w:val="TableParagraph"/>
              <w:spacing w:line="276" w:lineRule="auto"/>
              <w:ind w:left="284" w:right="283"/>
              <w:rPr>
                <w:rFonts w:ascii="PT Astra Sans" w:hAnsi="PT Astra Sans"/>
                <w:sz w:val="20"/>
                <w:szCs w:val="20"/>
                <w:highlight w:val="yellow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2024 год - 0,0 тыс.</w:t>
            </w:r>
            <w:r w:rsidRPr="009A3544">
              <w:rPr>
                <w:rFonts w:ascii="PT Astra Sans" w:hAnsi="PT Astra Sans"/>
                <w:spacing w:val="-11"/>
                <w:sz w:val="20"/>
                <w:szCs w:val="20"/>
                <w:lang w:val="ru-RU"/>
              </w:rPr>
              <w:t xml:space="preserve"> </w:t>
            </w: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рублей.</w:t>
            </w:r>
          </w:p>
        </w:tc>
      </w:tr>
      <w:tr w:rsidR="00093D19" w:rsidRPr="009A3544" w:rsidTr="00311780">
        <w:trPr>
          <w:trHeight w:val="6077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D19" w:rsidRPr="009A3544" w:rsidRDefault="00093D19" w:rsidP="00311780">
            <w:pPr>
              <w:pStyle w:val="TableParagraph"/>
              <w:spacing w:line="315" w:lineRule="exact"/>
              <w:ind w:left="110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lastRenderedPageBreak/>
              <w:t>Ожидаемые</w:t>
            </w:r>
            <w:proofErr w:type="spellEnd"/>
          </w:p>
          <w:p w:rsidR="00093D19" w:rsidRPr="009A3544" w:rsidRDefault="00093D19" w:rsidP="00311780">
            <w:pPr>
              <w:pStyle w:val="TableParagraph"/>
              <w:spacing w:line="315" w:lineRule="exact"/>
              <w:ind w:left="110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конечные</w:t>
            </w:r>
            <w:proofErr w:type="spellEnd"/>
            <w:r w:rsidRPr="009A3544">
              <w:rPr>
                <w:rFonts w:ascii="PT Astra Sans" w:hAnsi="PT Astra Sans"/>
                <w:sz w:val="20"/>
                <w:szCs w:val="20"/>
              </w:rPr>
              <w:t xml:space="preserve"> </w:t>
            </w: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результаты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D19" w:rsidRPr="009A3544" w:rsidRDefault="00093D19" w:rsidP="00311780">
            <w:pPr>
              <w:pStyle w:val="TableParagraph"/>
              <w:numPr>
                <w:ilvl w:val="0"/>
                <w:numId w:val="2"/>
              </w:numPr>
              <w:tabs>
                <w:tab w:val="left" w:pos="2451"/>
                <w:tab w:val="left" w:pos="3843"/>
                <w:tab w:val="left" w:pos="5982"/>
              </w:tabs>
              <w:spacing w:line="276" w:lineRule="auto"/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 xml:space="preserve">Функционирование эффективной образовательной сети, обеспечивающей равный </w:t>
            </w:r>
            <w:r w:rsidRPr="009A3544">
              <w:rPr>
                <w:rFonts w:ascii="PT Astra Sans" w:hAnsi="PT Astra Sans"/>
                <w:spacing w:val="-4"/>
                <w:sz w:val="20"/>
                <w:szCs w:val="20"/>
                <w:lang w:val="ru-RU"/>
              </w:rPr>
              <w:t>доступ  населения Белозерского района к услугам образования;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  <w:tab w:val="left" w:pos="3482"/>
                <w:tab w:val="left" w:pos="6970"/>
              </w:tabs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сохранение доступности дошкольного образования для детей в возрасте от 1,5 до 7 лет;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  <w:tab w:val="left" w:pos="3482"/>
                <w:tab w:val="left" w:pos="6970"/>
              </w:tabs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создание современных условий для реализации образовательных программ;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  <w:tab w:val="left" w:pos="3482"/>
                <w:tab w:val="left" w:pos="6970"/>
              </w:tabs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внедрение в практику современных механизмов и методов вовлеченности детей и подростков в позитивную социальную деятельность;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  <w:tab w:val="left" w:pos="3482"/>
                <w:tab w:val="left" w:pos="6970"/>
              </w:tabs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доступность для всех категорий детей качественного воспитания, способствующего удовлетворению их индивидуальных потребностей, развитию творческих способностей;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  <w:tab w:val="left" w:pos="3482"/>
                <w:tab w:val="left" w:pos="6970"/>
              </w:tabs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создание организационно-правовых, управленческих, финансовых условий для реализации дополнительного образования;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  <w:tab w:val="left" w:pos="3482"/>
                <w:tab w:val="left" w:pos="6970"/>
              </w:tabs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обеспечение доступности качественного образования для лиц с ОВЗ;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  <w:tab w:val="left" w:pos="3482"/>
                <w:tab w:val="left" w:pos="6970"/>
              </w:tabs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создание условий для обеспечения горячим питанием обучающихся общеобразовательных организаций;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  <w:tab w:val="left" w:pos="3482"/>
                <w:tab w:val="left" w:pos="6970"/>
              </w:tabs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обеспечение организованного отдыха, оздоровления и досуга детей в каникулярное время;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  <w:tab w:val="left" w:pos="3482"/>
                <w:tab w:val="left" w:pos="6970"/>
              </w:tabs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объединение усилий заинтересованных организаций в решении социально значимых проблем выпускников из замещающих семей;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  <w:tab w:val="left" w:pos="3482"/>
                <w:tab w:val="left" w:pos="6970"/>
              </w:tabs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положительная динамика в развитии семейных форм устройства детей-сирот;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  <w:tab w:val="left" w:pos="3482"/>
                <w:tab w:val="left" w:pos="6970"/>
              </w:tabs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обновление кадрового состава и закрепление молодых специалистов в системе образования Белозерского района;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  <w:tab w:val="left" w:pos="3482"/>
                <w:tab w:val="left" w:pos="6970"/>
              </w:tabs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повышение уровня профессиональной компетентности педагогических и руководящих работников;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  <w:tab w:val="left" w:pos="3482"/>
                <w:tab w:val="left" w:pos="6970"/>
              </w:tabs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обеспечение условий профессионального становления и развития педагогических работников независимо от места их проживания и работы;</w:t>
            </w:r>
          </w:p>
          <w:p w:rsidR="00093D19" w:rsidRPr="009A3544" w:rsidRDefault="00093D19" w:rsidP="0031178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  <w:tab w:val="left" w:pos="3482"/>
                <w:tab w:val="left" w:pos="6970"/>
              </w:tabs>
              <w:ind w:left="284" w:right="283"/>
              <w:rPr>
                <w:rFonts w:ascii="PT Astra Sans" w:hAnsi="PT Astra Sans"/>
                <w:sz w:val="20"/>
                <w:szCs w:val="20"/>
                <w:lang w:val="ru-RU"/>
              </w:rPr>
            </w:pPr>
            <w:r w:rsidRPr="009A3544">
              <w:rPr>
                <w:rFonts w:ascii="PT Astra Sans" w:hAnsi="PT Astra Sans"/>
                <w:sz w:val="20"/>
                <w:szCs w:val="20"/>
                <w:lang w:val="ru-RU"/>
              </w:rPr>
              <w:t>достижение результатов, установленных национальным проектом «Образование».</w:t>
            </w:r>
          </w:p>
        </w:tc>
      </w:tr>
    </w:tbl>
    <w:p w:rsidR="001B146C" w:rsidRDefault="001B146C" w:rsidP="00093D19">
      <w:pPr>
        <w:rPr>
          <w:rFonts w:ascii="PT Astra Sans" w:hAnsi="PT Astra Sans"/>
          <w:sz w:val="20"/>
          <w:szCs w:val="20"/>
        </w:rPr>
        <w:sectPr w:rsidR="001B146C" w:rsidSect="001B146C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093D19" w:rsidRPr="009A3544" w:rsidRDefault="00093D19" w:rsidP="00093D19">
      <w:pPr>
        <w:rPr>
          <w:rFonts w:ascii="PT Astra Sans" w:hAnsi="PT Astra Sans"/>
          <w:sz w:val="20"/>
          <w:szCs w:val="20"/>
        </w:rPr>
      </w:pPr>
    </w:p>
    <w:p w:rsidR="00093D19" w:rsidRPr="009A3544" w:rsidRDefault="00093D19" w:rsidP="00093D19">
      <w:pPr>
        <w:suppressAutoHyphens/>
        <w:autoSpaceDE/>
        <w:jc w:val="center"/>
        <w:rPr>
          <w:rFonts w:ascii="PT Astra Sans" w:hAnsi="PT Astra Sans" w:cs="Arial"/>
          <w:sz w:val="20"/>
          <w:szCs w:val="20"/>
          <w:lang w:eastAsia="ru-RU"/>
        </w:rPr>
      </w:pPr>
      <w:r w:rsidRPr="009A3544">
        <w:rPr>
          <w:rFonts w:ascii="PT Astra Sans" w:hAnsi="PT Astra Sans" w:cs="Arial"/>
          <w:sz w:val="20"/>
          <w:szCs w:val="20"/>
          <w:lang w:eastAsia="ru-RU"/>
        </w:rPr>
        <w:t>Динамика целевых значений целевых индикаторов муниципальной программы</w:t>
      </w:r>
    </w:p>
    <w:p w:rsidR="00093D19" w:rsidRPr="009A3544" w:rsidRDefault="00093D19" w:rsidP="00093D19">
      <w:pPr>
        <w:suppressAutoHyphens/>
        <w:autoSpaceDE/>
        <w:jc w:val="center"/>
        <w:rPr>
          <w:rFonts w:ascii="PT Astra Sans" w:hAnsi="PT Astra Sans"/>
          <w:kern w:val="3"/>
          <w:sz w:val="20"/>
          <w:szCs w:val="20"/>
          <w:lang w:eastAsia="ru-RU"/>
        </w:rPr>
      </w:pPr>
      <w:r w:rsidRPr="009A3544">
        <w:rPr>
          <w:rFonts w:ascii="PT Astra Sans" w:hAnsi="PT Astra Sans" w:cs="Arial"/>
          <w:sz w:val="20"/>
          <w:szCs w:val="20"/>
          <w:lang w:eastAsia="ru-RU"/>
        </w:rPr>
        <w:t xml:space="preserve"> </w:t>
      </w:r>
      <w:r w:rsidRPr="009A3544">
        <w:rPr>
          <w:rFonts w:ascii="PT Astra Sans" w:hAnsi="PT Astra Sans"/>
          <w:kern w:val="3"/>
          <w:sz w:val="20"/>
          <w:szCs w:val="20"/>
          <w:lang w:eastAsia="ru-RU"/>
        </w:rPr>
        <w:t xml:space="preserve">«Развитие образования в Белозерском районе» на 2021-2024 годы за 2022 год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1"/>
        <w:gridCol w:w="2064"/>
        <w:gridCol w:w="2064"/>
        <w:gridCol w:w="2064"/>
        <w:gridCol w:w="1718"/>
        <w:gridCol w:w="1715"/>
      </w:tblGrid>
      <w:tr w:rsidR="00C07A2F" w:rsidRPr="009A3544" w:rsidTr="00C07A2F">
        <w:trPr>
          <w:trHeight w:val="322"/>
        </w:trPr>
        <w:tc>
          <w:tcPr>
            <w:tcW w:w="1745" w:type="pct"/>
            <w:vMerge w:val="restart"/>
            <w:shd w:val="clear" w:color="auto" w:fill="auto"/>
            <w:vAlign w:val="center"/>
          </w:tcPr>
          <w:p w:rsidR="00C07A2F" w:rsidRPr="009A3544" w:rsidRDefault="00C07A2F" w:rsidP="00311780">
            <w:pPr>
              <w:pStyle w:val="Standard"/>
              <w:snapToGrid w:val="0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Целевые  индикаторы</w:t>
            </w:r>
          </w:p>
        </w:tc>
        <w:tc>
          <w:tcPr>
            <w:tcW w:w="698" w:type="pct"/>
            <w:vMerge w:val="restart"/>
            <w:shd w:val="clear" w:color="auto" w:fill="auto"/>
            <w:vAlign w:val="center"/>
          </w:tcPr>
          <w:p w:rsidR="00C07A2F" w:rsidRPr="009A3544" w:rsidRDefault="00C07A2F" w:rsidP="00093D19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Единица измерения</w:t>
            </w:r>
          </w:p>
        </w:tc>
        <w:tc>
          <w:tcPr>
            <w:tcW w:w="1396" w:type="pct"/>
            <w:gridSpan w:val="2"/>
            <w:shd w:val="clear" w:color="auto" w:fill="auto"/>
            <w:vAlign w:val="center"/>
          </w:tcPr>
          <w:p w:rsidR="00C07A2F" w:rsidRPr="009A3544" w:rsidRDefault="00C07A2F" w:rsidP="00093D19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2021</w:t>
            </w:r>
          </w:p>
        </w:tc>
        <w:tc>
          <w:tcPr>
            <w:tcW w:w="1161" w:type="pct"/>
            <w:gridSpan w:val="2"/>
            <w:shd w:val="clear" w:color="auto" w:fill="auto"/>
            <w:vAlign w:val="center"/>
          </w:tcPr>
          <w:p w:rsidR="00C07A2F" w:rsidRPr="009A3544" w:rsidRDefault="00C07A2F" w:rsidP="00093D19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2022</w:t>
            </w:r>
          </w:p>
        </w:tc>
      </w:tr>
      <w:tr w:rsidR="00C07A2F" w:rsidRPr="009A3544" w:rsidTr="00C07A2F">
        <w:tc>
          <w:tcPr>
            <w:tcW w:w="1745" w:type="pct"/>
            <w:vMerge/>
            <w:shd w:val="clear" w:color="auto" w:fill="auto"/>
            <w:vAlign w:val="center"/>
          </w:tcPr>
          <w:p w:rsidR="00C07A2F" w:rsidRPr="009A3544" w:rsidRDefault="00C07A2F" w:rsidP="00311780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</w:p>
        </w:tc>
        <w:tc>
          <w:tcPr>
            <w:tcW w:w="698" w:type="pct"/>
            <w:vMerge/>
            <w:shd w:val="clear" w:color="auto" w:fill="auto"/>
            <w:vAlign w:val="center"/>
          </w:tcPr>
          <w:p w:rsidR="00C07A2F" w:rsidRPr="009A3544" w:rsidRDefault="00C07A2F" w:rsidP="00093D19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C07A2F" w:rsidRPr="009A3544" w:rsidRDefault="00C07A2F" w:rsidP="00093D19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план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C07A2F" w:rsidRPr="009A3544" w:rsidRDefault="00C07A2F" w:rsidP="00093D19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факт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C07A2F" w:rsidRPr="009A3544" w:rsidRDefault="00C07A2F" w:rsidP="00093D19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план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C07A2F" w:rsidRPr="009A3544" w:rsidRDefault="00C07A2F" w:rsidP="00093D19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факт</w:t>
            </w:r>
          </w:p>
        </w:tc>
      </w:tr>
      <w:tr w:rsidR="00C07A2F" w:rsidRPr="009A3544" w:rsidTr="00C07A2F">
        <w:tc>
          <w:tcPr>
            <w:tcW w:w="1745" w:type="pct"/>
            <w:shd w:val="clear" w:color="auto" w:fill="auto"/>
          </w:tcPr>
          <w:p w:rsidR="00C07A2F" w:rsidRPr="009A3544" w:rsidRDefault="00C07A2F" w:rsidP="009A3544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rPr>
                <w:rFonts w:ascii="PT Astra Sans" w:hAnsi="PT Astra Sans" w:cs="Arial"/>
                <w:sz w:val="20"/>
                <w:szCs w:val="20"/>
                <w:lang w:eastAsia="ru-RU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Удельный вес численности населения в возрасте от 5 до 18 лет, охваченного общим образованием, в общей численности населения в возрасте от 5 до 18 лет (процент).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717C23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717C23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581" w:type="pct"/>
            <w:shd w:val="clear" w:color="auto" w:fill="auto"/>
          </w:tcPr>
          <w:p w:rsidR="00C07A2F" w:rsidRPr="009A3544" w:rsidRDefault="00C07A2F" w:rsidP="00717C23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580" w:type="pct"/>
            <w:shd w:val="clear" w:color="auto" w:fill="auto"/>
          </w:tcPr>
          <w:p w:rsidR="00C07A2F" w:rsidRPr="009A3544" w:rsidRDefault="00C07A2F" w:rsidP="00717C23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</w:tr>
      <w:tr w:rsidR="00C07A2F" w:rsidRPr="009A3544" w:rsidTr="00C07A2F">
        <w:tc>
          <w:tcPr>
            <w:tcW w:w="1745" w:type="pct"/>
            <w:shd w:val="clear" w:color="auto" w:fill="auto"/>
          </w:tcPr>
          <w:p w:rsidR="00C07A2F" w:rsidRPr="009A3544" w:rsidRDefault="00C07A2F" w:rsidP="009A3544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rPr>
                <w:rFonts w:ascii="PT Astra Sans" w:hAnsi="PT Astra Sans" w:cs="Arial"/>
                <w:sz w:val="20"/>
                <w:szCs w:val="20"/>
                <w:lang w:eastAsia="ru-RU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Отношение численности детей в возрасте от 1,5 до 7 лет, получающих дошкольное образование в текущем году, к сумме численности детей в возрасте от 1,5 до 7 лет, получающих дошкольное образование в текущем году, и численности детей</w:t>
            </w:r>
            <w:r w:rsidRPr="009A3544">
              <w:rPr>
                <w:rFonts w:ascii="PT Astra Sans" w:hAnsi="PT Astra Sans"/>
                <w:spacing w:val="-29"/>
                <w:sz w:val="20"/>
                <w:szCs w:val="20"/>
              </w:rPr>
              <w:t xml:space="preserve"> </w:t>
            </w:r>
            <w:r w:rsidRPr="009A3544">
              <w:rPr>
                <w:rFonts w:ascii="PT Astra Sans" w:hAnsi="PT Astra Sans"/>
                <w:sz w:val="20"/>
                <w:szCs w:val="20"/>
              </w:rPr>
              <w:t>в возрасте от 1,5 до 7 лет, находящихся в очереди на получение в текущем году</w:t>
            </w:r>
            <w:r w:rsidRPr="009A3544">
              <w:rPr>
                <w:rFonts w:ascii="PT Astra Sans" w:hAnsi="PT Astra Sans"/>
                <w:spacing w:val="-2"/>
                <w:sz w:val="20"/>
                <w:szCs w:val="20"/>
              </w:rPr>
              <w:t xml:space="preserve"> </w:t>
            </w:r>
            <w:r w:rsidRPr="009A3544">
              <w:rPr>
                <w:rFonts w:ascii="PT Astra Sans" w:hAnsi="PT Astra Sans"/>
                <w:sz w:val="20"/>
                <w:szCs w:val="20"/>
              </w:rPr>
              <w:t>дошкольного образования (процент).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BE37E2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BE37E2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581" w:type="pct"/>
            <w:shd w:val="clear" w:color="auto" w:fill="auto"/>
          </w:tcPr>
          <w:p w:rsidR="00C07A2F" w:rsidRPr="009A3544" w:rsidRDefault="00C07A2F" w:rsidP="00BE37E2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580" w:type="pct"/>
            <w:shd w:val="clear" w:color="auto" w:fill="auto"/>
          </w:tcPr>
          <w:p w:rsidR="00C07A2F" w:rsidRPr="009A3544" w:rsidRDefault="00C07A2F" w:rsidP="00BE37E2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</w:tr>
      <w:tr w:rsidR="00C07A2F" w:rsidRPr="009A3544" w:rsidTr="00C07A2F">
        <w:tc>
          <w:tcPr>
            <w:tcW w:w="1745" w:type="pct"/>
            <w:shd w:val="clear" w:color="auto" w:fill="auto"/>
          </w:tcPr>
          <w:p w:rsidR="00C07A2F" w:rsidRPr="009A3544" w:rsidRDefault="00C07A2F" w:rsidP="00BE37E2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Отношение среднего балла единого государственного экзамена (в расчете на 2 обязательных предмета) в общеобразовательной организации с лучшими результатами единого государственного экзамена к среднему баллу единого государственного экзамена (в расчете на 2 обязательных предмета) в общеобразовательной организации с худшими результатами единого государственного экзамена (процент).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BE37E2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1,6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1,6</w:t>
            </w:r>
          </w:p>
        </w:tc>
        <w:tc>
          <w:tcPr>
            <w:tcW w:w="581" w:type="pct"/>
            <w:shd w:val="clear" w:color="auto" w:fill="auto"/>
          </w:tcPr>
          <w:p w:rsidR="00C07A2F" w:rsidRPr="009A3544" w:rsidRDefault="00C07A2F" w:rsidP="00BE37E2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1,5</w:t>
            </w:r>
          </w:p>
        </w:tc>
        <w:tc>
          <w:tcPr>
            <w:tcW w:w="580" w:type="pct"/>
            <w:shd w:val="clear" w:color="auto" w:fill="auto"/>
          </w:tcPr>
          <w:p w:rsidR="00C07A2F" w:rsidRPr="009A3544" w:rsidRDefault="00C07A2F" w:rsidP="00BE37E2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1,5</w:t>
            </w:r>
          </w:p>
        </w:tc>
      </w:tr>
      <w:tr w:rsidR="00C07A2F" w:rsidRPr="009A3544" w:rsidTr="00C07A2F">
        <w:tc>
          <w:tcPr>
            <w:tcW w:w="1745" w:type="pct"/>
            <w:shd w:val="clear" w:color="auto" w:fill="auto"/>
          </w:tcPr>
          <w:p w:rsidR="00C07A2F" w:rsidRPr="009A3544" w:rsidRDefault="00C07A2F" w:rsidP="009A3544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Удельный вес численности обучающихся муниципальных общеобразовательных организациях, которым предоставлена возможность обучаться в соответствии с требованиями ФГОС, в общей численности обучающихся муниципальных общеобразовательных организаций (процент)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97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97</w:t>
            </w:r>
          </w:p>
        </w:tc>
        <w:tc>
          <w:tcPr>
            <w:tcW w:w="581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580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</w:tr>
      <w:tr w:rsidR="00C07A2F" w:rsidRPr="009A3544" w:rsidTr="00C07A2F">
        <w:tc>
          <w:tcPr>
            <w:tcW w:w="1745" w:type="pct"/>
            <w:shd w:val="clear" w:color="auto" w:fill="auto"/>
          </w:tcPr>
          <w:p w:rsidR="00C07A2F" w:rsidRPr="009A3544" w:rsidRDefault="00C07A2F" w:rsidP="009A3544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9A3544">
              <w:rPr>
                <w:rFonts w:ascii="PT Astra Sans" w:hAnsi="PT Astra Sans"/>
                <w:sz w:val="20"/>
                <w:szCs w:val="20"/>
              </w:rPr>
              <w:t>численности</w:t>
            </w:r>
            <w:proofErr w:type="gramEnd"/>
            <w:r w:rsidRPr="009A3544">
              <w:rPr>
                <w:rFonts w:ascii="PT Astra Sans" w:hAnsi="PT Astra Sans"/>
                <w:sz w:val="20"/>
                <w:szCs w:val="20"/>
              </w:rPr>
              <w:t xml:space="preserve"> обучающихся в общеобразовательных организациях, в том числе обучающихся по образовательным программам начального общего, основного общего, среднего общего образования (процент).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61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61</w:t>
            </w:r>
          </w:p>
        </w:tc>
        <w:tc>
          <w:tcPr>
            <w:tcW w:w="581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61</w:t>
            </w:r>
          </w:p>
        </w:tc>
        <w:tc>
          <w:tcPr>
            <w:tcW w:w="580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61</w:t>
            </w:r>
          </w:p>
        </w:tc>
      </w:tr>
      <w:tr w:rsidR="00C07A2F" w:rsidRPr="009A3544" w:rsidTr="00C07A2F">
        <w:tc>
          <w:tcPr>
            <w:tcW w:w="1745" w:type="pct"/>
            <w:shd w:val="clear" w:color="auto" w:fill="auto"/>
          </w:tcPr>
          <w:p w:rsidR="00C07A2F" w:rsidRPr="009A3544" w:rsidRDefault="00C07A2F" w:rsidP="009A3544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 xml:space="preserve">Удельный вес численности обучающихся по образовательным программам начального общего образования, охваченных горячим питанием, в общей </w:t>
            </w:r>
            <w:proofErr w:type="gramStart"/>
            <w:r w:rsidRPr="009A3544">
              <w:rPr>
                <w:rFonts w:ascii="PT Astra Sans" w:hAnsi="PT Astra Sans"/>
                <w:sz w:val="20"/>
                <w:szCs w:val="20"/>
              </w:rPr>
              <w:t>численности</w:t>
            </w:r>
            <w:proofErr w:type="gramEnd"/>
            <w:r w:rsidRPr="009A3544">
              <w:rPr>
                <w:rFonts w:ascii="PT Astra Sans" w:hAnsi="PT Astra Sans"/>
                <w:sz w:val="20"/>
                <w:szCs w:val="20"/>
              </w:rPr>
              <w:t xml:space="preserve"> обучающихся по образовательным </w:t>
            </w:r>
            <w:r w:rsidRPr="009A3544">
              <w:rPr>
                <w:rFonts w:ascii="PT Astra Sans" w:hAnsi="PT Astra Sans"/>
                <w:sz w:val="20"/>
                <w:szCs w:val="20"/>
              </w:rPr>
              <w:lastRenderedPageBreak/>
              <w:t>программам начального общего образования в образовательных организациях Белозерского района.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lastRenderedPageBreak/>
              <w:t>%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581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580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</w:tr>
      <w:tr w:rsidR="00C07A2F" w:rsidRPr="009A3544" w:rsidTr="00C07A2F">
        <w:tc>
          <w:tcPr>
            <w:tcW w:w="1745" w:type="pct"/>
            <w:shd w:val="clear" w:color="auto" w:fill="auto"/>
          </w:tcPr>
          <w:p w:rsidR="00C07A2F" w:rsidRPr="009A3544" w:rsidRDefault="00C07A2F" w:rsidP="009A3544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lastRenderedPageBreak/>
              <w:t xml:space="preserve">Удельный вес численности обучающихся, охваченных горячим питанием, в общей </w:t>
            </w:r>
            <w:proofErr w:type="gramStart"/>
            <w:r w:rsidRPr="009A3544">
              <w:rPr>
                <w:rFonts w:ascii="PT Astra Sans" w:hAnsi="PT Astra Sans"/>
                <w:sz w:val="20"/>
                <w:szCs w:val="20"/>
              </w:rPr>
              <w:t>численности</w:t>
            </w:r>
            <w:proofErr w:type="gramEnd"/>
            <w:r w:rsidRPr="009A3544">
              <w:rPr>
                <w:rFonts w:ascii="PT Astra Sans" w:hAnsi="PT Astra Sans"/>
                <w:sz w:val="20"/>
                <w:szCs w:val="20"/>
              </w:rPr>
              <w:t xml:space="preserve"> обучающихся в образовательных организациях Белозерского района.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98,8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98,8</w:t>
            </w:r>
          </w:p>
        </w:tc>
        <w:tc>
          <w:tcPr>
            <w:tcW w:w="581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99,2</w:t>
            </w:r>
          </w:p>
        </w:tc>
        <w:tc>
          <w:tcPr>
            <w:tcW w:w="580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99,2</w:t>
            </w:r>
          </w:p>
        </w:tc>
      </w:tr>
      <w:tr w:rsidR="00C07A2F" w:rsidRPr="009A3544" w:rsidTr="00C07A2F">
        <w:tc>
          <w:tcPr>
            <w:tcW w:w="1745" w:type="pct"/>
            <w:shd w:val="clear" w:color="auto" w:fill="auto"/>
          </w:tcPr>
          <w:p w:rsidR="00C07A2F" w:rsidRPr="009A3544" w:rsidRDefault="00C07A2F" w:rsidP="009A3544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Удельный вес численности обучающихся с ограниченными возможностями здоровья (далее – ОВЗ), обучающихся на дому, получающих поддержку из районного бюджета.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581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580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</w:tr>
      <w:tr w:rsidR="00C07A2F" w:rsidRPr="009A3544" w:rsidTr="00C07A2F">
        <w:tc>
          <w:tcPr>
            <w:tcW w:w="1745" w:type="pct"/>
            <w:shd w:val="clear" w:color="auto" w:fill="auto"/>
          </w:tcPr>
          <w:p w:rsidR="00C07A2F" w:rsidRPr="009A3544" w:rsidRDefault="00C07A2F" w:rsidP="009A3544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 xml:space="preserve">Удельный вес численности детей и молодежи, участвующих в деятельности детских и молодежных общественных объединений, в общей </w:t>
            </w:r>
            <w:proofErr w:type="gramStart"/>
            <w:r w:rsidRPr="009A3544">
              <w:rPr>
                <w:rFonts w:ascii="PT Astra Sans" w:hAnsi="PT Astra Sans"/>
                <w:sz w:val="20"/>
                <w:szCs w:val="20"/>
              </w:rPr>
              <w:t>численности</w:t>
            </w:r>
            <w:proofErr w:type="gramEnd"/>
            <w:r w:rsidRPr="009A3544">
              <w:rPr>
                <w:rFonts w:ascii="PT Astra Sans" w:hAnsi="PT Astra Sans"/>
                <w:sz w:val="20"/>
                <w:szCs w:val="20"/>
              </w:rPr>
              <w:t xml:space="preserve"> обучающихся в общеобразовательных организациях (процент).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30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30</w:t>
            </w:r>
          </w:p>
        </w:tc>
        <w:tc>
          <w:tcPr>
            <w:tcW w:w="581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35</w:t>
            </w:r>
          </w:p>
        </w:tc>
        <w:tc>
          <w:tcPr>
            <w:tcW w:w="580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35</w:t>
            </w:r>
          </w:p>
        </w:tc>
      </w:tr>
      <w:tr w:rsidR="00C07A2F" w:rsidRPr="009A3544" w:rsidTr="00C07A2F">
        <w:tc>
          <w:tcPr>
            <w:tcW w:w="1745" w:type="pct"/>
            <w:shd w:val="clear" w:color="auto" w:fill="auto"/>
          </w:tcPr>
          <w:p w:rsidR="00C07A2F" w:rsidRPr="009A3544" w:rsidRDefault="00C07A2F" w:rsidP="00BE37E2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Доля родителей обучающихся общеобразовательных организаций, вовлеченных в управление учебно- воспитательным процессом и социально значимую деятельность, от общего числа родителей обучающихся общеобразовательных организаций (процент).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16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16</w:t>
            </w:r>
          </w:p>
        </w:tc>
        <w:tc>
          <w:tcPr>
            <w:tcW w:w="581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17</w:t>
            </w:r>
          </w:p>
        </w:tc>
        <w:tc>
          <w:tcPr>
            <w:tcW w:w="580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17</w:t>
            </w:r>
          </w:p>
        </w:tc>
      </w:tr>
      <w:tr w:rsidR="00C07A2F" w:rsidRPr="009A3544" w:rsidTr="00C07A2F">
        <w:tc>
          <w:tcPr>
            <w:tcW w:w="1745" w:type="pct"/>
            <w:shd w:val="clear" w:color="auto" w:fill="auto"/>
          </w:tcPr>
          <w:p w:rsidR="00C07A2F" w:rsidRPr="009A3544" w:rsidRDefault="00C07A2F" w:rsidP="00717C23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Доля детей, охваченных образовательными программами дополнительного образования детей, в общей численности детей и молодежи от 5 до 18 лет (процент).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78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78</w:t>
            </w:r>
          </w:p>
        </w:tc>
        <w:tc>
          <w:tcPr>
            <w:tcW w:w="581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78,5</w:t>
            </w:r>
          </w:p>
        </w:tc>
        <w:tc>
          <w:tcPr>
            <w:tcW w:w="580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78,5</w:t>
            </w:r>
          </w:p>
        </w:tc>
      </w:tr>
      <w:tr w:rsidR="00C07A2F" w:rsidRPr="009A3544" w:rsidTr="00C07A2F">
        <w:tc>
          <w:tcPr>
            <w:tcW w:w="1745" w:type="pct"/>
            <w:shd w:val="clear" w:color="auto" w:fill="auto"/>
          </w:tcPr>
          <w:p w:rsidR="00C07A2F" w:rsidRPr="009A3544" w:rsidRDefault="00C07A2F" w:rsidP="00717C23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Доля детей в возрасте от 5 до 18 лет, использующих сертификаты дополнительного образования, в общей численности детей и молодежи от 5 до 18 лет, имеющих право на получение дополнительного образования в рамках системы персонифицированного финансирования (процент).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30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30</w:t>
            </w:r>
          </w:p>
        </w:tc>
        <w:tc>
          <w:tcPr>
            <w:tcW w:w="581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35</w:t>
            </w:r>
          </w:p>
        </w:tc>
        <w:tc>
          <w:tcPr>
            <w:tcW w:w="580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35</w:t>
            </w:r>
          </w:p>
        </w:tc>
      </w:tr>
      <w:tr w:rsidR="00C07A2F" w:rsidRPr="009A3544" w:rsidTr="00C07A2F">
        <w:tc>
          <w:tcPr>
            <w:tcW w:w="1745" w:type="pct"/>
            <w:shd w:val="clear" w:color="auto" w:fill="auto"/>
          </w:tcPr>
          <w:p w:rsidR="00C07A2F" w:rsidRPr="009A3544" w:rsidRDefault="00C07A2F" w:rsidP="00717C23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 xml:space="preserve">Доля детей-сирот и детей, оставшихся без попечения родителей, переданных на воспитание в семьи граждан, от общего количества детей-сирот и детей, оставшихся без попечения родителей (процент) 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581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580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</w:tr>
      <w:tr w:rsidR="00C07A2F" w:rsidRPr="009A3544" w:rsidTr="00C07A2F">
        <w:tc>
          <w:tcPr>
            <w:tcW w:w="1745" w:type="pct"/>
            <w:shd w:val="clear" w:color="auto" w:fill="auto"/>
          </w:tcPr>
          <w:p w:rsidR="00C07A2F" w:rsidRPr="009A3544" w:rsidRDefault="00C07A2F" w:rsidP="009A3544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Удельный вес численности учителей в возрасте до 35 лет в общей численности учителей общеобразовательных организаций Белозерского района (процент).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17,5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17,5</w:t>
            </w:r>
          </w:p>
        </w:tc>
        <w:tc>
          <w:tcPr>
            <w:tcW w:w="581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18</w:t>
            </w:r>
          </w:p>
        </w:tc>
        <w:tc>
          <w:tcPr>
            <w:tcW w:w="580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18</w:t>
            </w:r>
          </w:p>
        </w:tc>
      </w:tr>
      <w:tr w:rsidR="00C07A2F" w:rsidRPr="009A3544" w:rsidTr="00C07A2F">
        <w:tc>
          <w:tcPr>
            <w:tcW w:w="1745" w:type="pct"/>
            <w:shd w:val="clear" w:color="auto" w:fill="auto"/>
          </w:tcPr>
          <w:p w:rsidR="009900A8" w:rsidRPr="009A3544" w:rsidRDefault="00C07A2F" w:rsidP="00BE37E2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 xml:space="preserve">Доля педагогических работников образовательных организаций, прошедших переподготовку или повышение квалификации по вопросам образования </w:t>
            </w:r>
            <w:r w:rsidRPr="009A3544">
              <w:rPr>
                <w:rFonts w:ascii="PT Astra Sans" w:hAnsi="PT Astra Sans"/>
                <w:sz w:val="20"/>
                <w:szCs w:val="20"/>
              </w:rPr>
              <w:lastRenderedPageBreak/>
              <w:t xml:space="preserve">обучающихся с ОВЗ и </w:t>
            </w:r>
          </w:p>
          <w:p w:rsidR="00C07A2F" w:rsidRPr="009A3544" w:rsidRDefault="00C07A2F" w:rsidP="00BE37E2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инвалидностью, в общей численности педагогических работников, работающих с детьми с ОВЗ (процент)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lastRenderedPageBreak/>
              <w:t>%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36</w:t>
            </w:r>
          </w:p>
        </w:tc>
        <w:tc>
          <w:tcPr>
            <w:tcW w:w="698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36</w:t>
            </w:r>
          </w:p>
        </w:tc>
        <w:tc>
          <w:tcPr>
            <w:tcW w:w="581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50</w:t>
            </w:r>
          </w:p>
        </w:tc>
        <w:tc>
          <w:tcPr>
            <w:tcW w:w="580" w:type="pct"/>
            <w:shd w:val="clear" w:color="auto" w:fill="auto"/>
          </w:tcPr>
          <w:p w:rsidR="00C07A2F" w:rsidRPr="009A3544" w:rsidRDefault="00C07A2F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50</w:t>
            </w:r>
          </w:p>
        </w:tc>
      </w:tr>
      <w:tr w:rsidR="009900A8" w:rsidRPr="009A3544" w:rsidTr="00C07A2F">
        <w:tc>
          <w:tcPr>
            <w:tcW w:w="1745" w:type="pct"/>
            <w:shd w:val="clear" w:color="auto" w:fill="auto"/>
          </w:tcPr>
          <w:p w:rsidR="009900A8" w:rsidRPr="009A3544" w:rsidRDefault="009900A8" w:rsidP="00BE37E2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lastRenderedPageBreak/>
              <w:t xml:space="preserve">Доля детей в возрасте от 6 до 18 лет, охваченных организованными формами отдыха, оздоровления и досуга в каникулярное время от общего количества детей от 6 до 18 лет </w:t>
            </w:r>
          </w:p>
        </w:tc>
        <w:tc>
          <w:tcPr>
            <w:tcW w:w="698" w:type="pct"/>
            <w:shd w:val="clear" w:color="auto" w:fill="auto"/>
          </w:tcPr>
          <w:p w:rsidR="009900A8" w:rsidRPr="009A3544" w:rsidRDefault="009900A8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698" w:type="pct"/>
            <w:shd w:val="clear" w:color="auto" w:fill="auto"/>
          </w:tcPr>
          <w:p w:rsidR="009900A8" w:rsidRPr="009A3544" w:rsidRDefault="009900A8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698" w:type="pct"/>
            <w:shd w:val="clear" w:color="auto" w:fill="auto"/>
          </w:tcPr>
          <w:p w:rsidR="009900A8" w:rsidRPr="009A3544" w:rsidRDefault="009900A8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581" w:type="pct"/>
            <w:shd w:val="clear" w:color="auto" w:fill="auto"/>
          </w:tcPr>
          <w:p w:rsidR="009900A8" w:rsidRPr="009A3544" w:rsidRDefault="009900A8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580" w:type="pct"/>
            <w:shd w:val="clear" w:color="auto" w:fill="auto"/>
          </w:tcPr>
          <w:p w:rsidR="009900A8" w:rsidRPr="009A3544" w:rsidRDefault="009900A8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</w:tr>
      <w:tr w:rsidR="009900A8" w:rsidRPr="009A3544" w:rsidTr="00C07A2F">
        <w:tc>
          <w:tcPr>
            <w:tcW w:w="1745" w:type="pct"/>
            <w:shd w:val="clear" w:color="auto" w:fill="auto"/>
          </w:tcPr>
          <w:p w:rsidR="009900A8" w:rsidRPr="009A3544" w:rsidRDefault="009900A8" w:rsidP="00BE37E2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 xml:space="preserve">Доля объектов образовательных организаций, обеспеченных установкой систем, автоматически передающих сигнал о возникновении пожара на пульт пожарной части без помощи человека, в общем числе объектов образовательных организаций </w:t>
            </w:r>
          </w:p>
        </w:tc>
        <w:tc>
          <w:tcPr>
            <w:tcW w:w="698" w:type="pct"/>
            <w:shd w:val="clear" w:color="auto" w:fill="auto"/>
          </w:tcPr>
          <w:p w:rsidR="009900A8" w:rsidRPr="009A3544" w:rsidRDefault="009900A8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698" w:type="pct"/>
            <w:shd w:val="clear" w:color="auto" w:fill="auto"/>
          </w:tcPr>
          <w:p w:rsidR="009900A8" w:rsidRPr="009A3544" w:rsidRDefault="009900A8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72,5</w:t>
            </w:r>
          </w:p>
        </w:tc>
        <w:tc>
          <w:tcPr>
            <w:tcW w:w="698" w:type="pct"/>
            <w:shd w:val="clear" w:color="auto" w:fill="auto"/>
          </w:tcPr>
          <w:p w:rsidR="009900A8" w:rsidRPr="009A3544" w:rsidRDefault="009900A8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72,5</w:t>
            </w:r>
          </w:p>
        </w:tc>
        <w:tc>
          <w:tcPr>
            <w:tcW w:w="581" w:type="pct"/>
            <w:shd w:val="clear" w:color="auto" w:fill="auto"/>
          </w:tcPr>
          <w:p w:rsidR="009900A8" w:rsidRPr="009A3544" w:rsidRDefault="009900A8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580" w:type="pct"/>
            <w:shd w:val="clear" w:color="auto" w:fill="auto"/>
          </w:tcPr>
          <w:p w:rsidR="009900A8" w:rsidRPr="009A3544" w:rsidRDefault="009900A8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</w:tr>
      <w:tr w:rsidR="009900A8" w:rsidRPr="009A3544" w:rsidTr="009900A8">
        <w:tc>
          <w:tcPr>
            <w:tcW w:w="1745" w:type="pct"/>
            <w:shd w:val="clear" w:color="auto" w:fill="auto"/>
          </w:tcPr>
          <w:p w:rsidR="009900A8" w:rsidRPr="009A3544" w:rsidRDefault="009900A8" w:rsidP="00BE37E2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right="283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 xml:space="preserve">Число новых мест в общеобразовательных организациях Белозерского района 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9900A8" w:rsidRPr="009A3544" w:rsidRDefault="009900A8" w:rsidP="009900A8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Кол-во мест</w:t>
            </w:r>
          </w:p>
        </w:tc>
        <w:tc>
          <w:tcPr>
            <w:tcW w:w="698" w:type="pct"/>
            <w:shd w:val="clear" w:color="auto" w:fill="auto"/>
          </w:tcPr>
          <w:p w:rsidR="009900A8" w:rsidRPr="009A3544" w:rsidRDefault="009900A8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98" w:type="pct"/>
            <w:shd w:val="clear" w:color="auto" w:fill="auto"/>
          </w:tcPr>
          <w:p w:rsidR="009900A8" w:rsidRPr="009A3544" w:rsidRDefault="009900A8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581" w:type="pct"/>
            <w:shd w:val="clear" w:color="auto" w:fill="auto"/>
          </w:tcPr>
          <w:p w:rsidR="009900A8" w:rsidRPr="009A3544" w:rsidRDefault="009900A8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580" w:type="pct"/>
            <w:shd w:val="clear" w:color="auto" w:fill="auto"/>
          </w:tcPr>
          <w:p w:rsidR="009900A8" w:rsidRPr="009A3544" w:rsidRDefault="009900A8" w:rsidP="0031178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</w:tr>
    </w:tbl>
    <w:p w:rsidR="00093D19" w:rsidRPr="009A3544" w:rsidRDefault="00093D19" w:rsidP="00093D19">
      <w:pPr>
        <w:pStyle w:val="Standard"/>
        <w:ind w:firstLine="709"/>
        <w:jc w:val="both"/>
        <w:rPr>
          <w:rFonts w:ascii="PT Astra Sans" w:eastAsia="Times New Roman" w:hAnsi="PT Astra Sans" w:cs="Arial"/>
          <w:sz w:val="20"/>
          <w:szCs w:val="20"/>
          <w:lang w:eastAsia="ru-RU" w:bidi="ar-SA"/>
        </w:rPr>
      </w:pPr>
    </w:p>
    <w:p w:rsidR="00093D19" w:rsidRPr="009A3544" w:rsidRDefault="00093D19" w:rsidP="00093D19">
      <w:pPr>
        <w:suppressAutoHyphens/>
        <w:autoSpaceDE/>
        <w:jc w:val="center"/>
        <w:rPr>
          <w:rFonts w:ascii="PT Astra Sans" w:hAnsi="PT Astra Sans"/>
          <w:kern w:val="3"/>
          <w:sz w:val="20"/>
          <w:szCs w:val="20"/>
          <w:lang w:eastAsia="ru-RU"/>
        </w:rPr>
      </w:pPr>
      <w:r w:rsidRPr="009A3544">
        <w:rPr>
          <w:rFonts w:ascii="PT Astra Sans" w:hAnsi="PT Astra Sans" w:cs="Arial"/>
          <w:sz w:val="20"/>
          <w:szCs w:val="20"/>
          <w:lang w:eastAsia="ru-RU"/>
        </w:rPr>
        <w:t xml:space="preserve">Оценка целевых индикаторов муниципальной программы    </w:t>
      </w:r>
      <w:r w:rsidRPr="009A3544">
        <w:rPr>
          <w:rFonts w:ascii="PT Astra Sans" w:hAnsi="PT Astra Sans"/>
          <w:kern w:val="3"/>
          <w:sz w:val="20"/>
          <w:szCs w:val="20"/>
          <w:lang w:eastAsia="ru-RU"/>
        </w:rPr>
        <w:t xml:space="preserve">«Развитие образования в Белозерском районе» </w:t>
      </w:r>
    </w:p>
    <w:p w:rsidR="00093D19" w:rsidRPr="009A3544" w:rsidRDefault="00093D19" w:rsidP="00093D19">
      <w:pPr>
        <w:suppressAutoHyphens/>
        <w:autoSpaceDE/>
        <w:jc w:val="center"/>
        <w:rPr>
          <w:rFonts w:ascii="PT Astra Sans" w:hAnsi="PT Astra Sans"/>
          <w:kern w:val="3"/>
          <w:sz w:val="20"/>
          <w:szCs w:val="20"/>
          <w:lang w:eastAsia="ru-RU"/>
        </w:rPr>
      </w:pPr>
      <w:r w:rsidRPr="009A3544">
        <w:rPr>
          <w:rFonts w:ascii="PT Astra Sans" w:hAnsi="PT Astra Sans"/>
          <w:kern w:val="3"/>
          <w:sz w:val="20"/>
          <w:szCs w:val="20"/>
          <w:lang w:eastAsia="ru-RU"/>
        </w:rPr>
        <w:t xml:space="preserve">на 2021-2024 годы за 2022 год 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34"/>
        <w:gridCol w:w="2159"/>
        <w:gridCol w:w="1706"/>
        <w:gridCol w:w="2704"/>
        <w:gridCol w:w="2033"/>
        <w:gridCol w:w="2074"/>
      </w:tblGrid>
      <w:tr w:rsidR="00D07BEE" w:rsidRPr="009A3544" w:rsidTr="007D7923">
        <w:trPr>
          <w:cantSplit/>
          <w:trHeight w:val="302"/>
        </w:trPr>
        <w:tc>
          <w:tcPr>
            <w:tcW w:w="13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BEE" w:rsidRPr="009A3544" w:rsidRDefault="00D07BEE" w:rsidP="007D7923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BEE" w:rsidRPr="009A3544" w:rsidRDefault="00D07BEE" w:rsidP="007D7923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Единица измерения</w:t>
            </w:r>
          </w:p>
        </w:tc>
        <w:tc>
          <w:tcPr>
            <w:tcW w:w="28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EE" w:rsidRPr="009A3544" w:rsidRDefault="00D07BEE" w:rsidP="007D7923">
            <w:pPr>
              <w:ind w:firstLine="709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Значение целевого индикатора</w:t>
            </w:r>
          </w:p>
        </w:tc>
      </w:tr>
      <w:tr w:rsidR="00D75C86" w:rsidRPr="009A3544" w:rsidTr="007D7923">
        <w:trPr>
          <w:cantSplit/>
          <w:trHeight w:val="234"/>
        </w:trPr>
        <w:tc>
          <w:tcPr>
            <w:tcW w:w="13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86" w:rsidRPr="009A3544" w:rsidRDefault="00D75C86" w:rsidP="007D7923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Утверждено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86" w:rsidRPr="009A3544" w:rsidRDefault="00D75C86" w:rsidP="007D7923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Достигнуто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86" w:rsidRPr="009A3544" w:rsidRDefault="00D75C86" w:rsidP="007D7923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Отклонение %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86" w:rsidRPr="009A3544" w:rsidRDefault="00D75C86" w:rsidP="007D7923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Оценка в баллах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9A3544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jc w:val="center"/>
              <w:rPr>
                <w:rFonts w:ascii="PT Astra Sans" w:hAnsi="PT Astra Sans" w:cs="Arial"/>
                <w:sz w:val="20"/>
                <w:szCs w:val="20"/>
                <w:lang w:eastAsia="ru-RU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Удельный вес численности населения в возрасте от 5 до 18 лет, охваченного общим образованием, в общей численности населения в возрасте от 5 до 18 лет (процент).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1B146C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9A3544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jc w:val="center"/>
              <w:rPr>
                <w:rFonts w:ascii="PT Astra Sans" w:hAnsi="PT Astra Sans" w:cs="Arial"/>
                <w:sz w:val="20"/>
                <w:szCs w:val="20"/>
                <w:lang w:eastAsia="ru-RU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Отношение численности детей в возрасте от 1,5 до 7 лет, получающих дошкольное образование в текущем году, к сумме численности детей в возрасте от 1,5 до 7 лет, получающих дошкольное образование в текущем году, и численности детей</w:t>
            </w:r>
            <w:r w:rsidRPr="009A3544">
              <w:rPr>
                <w:rFonts w:ascii="PT Astra Sans" w:hAnsi="PT Astra Sans"/>
                <w:spacing w:val="-29"/>
                <w:sz w:val="20"/>
                <w:szCs w:val="20"/>
              </w:rPr>
              <w:t xml:space="preserve"> </w:t>
            </w:r>
            <w:r w:rsidRPr="009A3544">
              <w:rPr>
                <w:rFonts w:ascii="PT Astra Sans" w:hAnsi="PT Astra Sans"/>
                <w:sz w:val="20"/>
                <w:szCs w:val="20"/>
              </w:rPr>
              <w:t>в возрасте от 1,5 до 7 лет, находящихся в очереди на получение в текущем году</w:t>
            </w:r>
            <w:r w:rsidRPr="009A3544">
              <w:rPr>
                <w:rFonts w:ascii="PT Astra Sans" w:hAnsi="PT Astra Sans"/>
                <w:spacing w:val="-2"/>
                <w:sz w:val="20"/>
                <w:szCs w:val="20"/>
              </w:rPr>
              <w:t xml:space="preserve"> </w:t>
            </w:r>
            <w:r w:rsidRPr="009A3544">
              <w:rPr>
                <w:rFonts w:ascii="PT Astra Sans" w:hAnsi="PT Astra Sans"/>
                <w:sz w:val="20"/>
                <w:szCs w:val="20"/>
              </w:rPr>
              <w:t>дошкольного образования (процент).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 xml:space="preserve">Отношение среднего балла единого государственного экзамена (в расчете на 2 обязательных предмета) в общеобразовательной организации с лучшими результатами единого государственного экзамена к среднему баллу единого государственного экзамена </w:t>
            </w:r>
            <w:r w:rsidRPr="009A3544">
              <w:rPr>
                <w:rFonts w:ascii="PT Astra Sans" w:hAnsi="PT Astra Sans"/>
                <w:sz w:val="20"/>
                <w:szCs w:val="20"/>
              </w:rPr>
              <w:lastRenderedPageBreak/>
              <w:t>(в расчете на 2 обязательных предмета) в общеобразовательной организации с худшими результатами единого государственного экзамена (процент).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lastRenderedPageBreak/>
              <w:t>%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1,5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1,5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9A3544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lastRenderedPageBreak/>
              <w:t>Удельный вес численности обучающихся муниципальных общеобразовательных организациях, которым предоставлена возможность обучаться в соответствии с требованиями ФГОС, в общей численности обучающихся муниципальных общеобразовательных организаций (процент)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9A3544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9A3544">
              <w:rPr>
                <w:rFonts w:ascii="PT Astra Sans" w:hAnsi="PT Astra Sans"/>
                <w:sz w:val="20"/>
                <w:szCs w:val="20"/>
              </w:rPr>
              <w:t>численности</w:t>
            </w:r>
            <w:proofErr w:type="gramEnd"/>
            <w:r w:rsidRPr="009A3544">
              <w:rPr>
                <w:rFonts w:ascii="PT Astra Sans" w:hAnsi="PT Astra Sans"/>
                <w:sz w:val="20"/>
                <w:szCs w:val="20"/>
              </w:rPr>
              <w:t xml:space="preserve"> обучающихся в общеобразовательных организациях, в том числе обучающихся по образовательным программам начального общего, основного общего, среднего общего образования (процент).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61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61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9A3544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 xml:space="preserve">Удельный вес численности обучающихся по образовательным программам начального общего образования, охваченных горячим питанием, в общей </w:t>
            </w:r>
            <w:proofErr w:type="gramStart"/>
            <w:r w:rsidRPr="009A3544">
              <w:rPr>
                <w:rFonts w:ascii="PT Astra Sans" w:hAnsi="PT Astra Sans"/>
                <w:sz w:val="20"/>
                <w:szCs w:val="20"/>
              </w:rPr>
              <w:t>численности</w:t>
            </w:r>
            <w:proofErr w:type="gramEnd"/>
            <w:r w:rsidRPr="009A3544">
              <w:rPr>
                <w:rFonts w:ascii="PT Astra Sans" w:hAnsi="PT Astra Sans"/>
                <w:sz w:val="20"/>
                <w:szCs w:val="20"/>
              </w:rPr>
              <w:t xml:space="preserve"> обучающихся по образовательным программам начального общего образования в образовательных организациях Белозерского района.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9A3544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 xml:space="preserve">Удельный вес численности обучающихся, охваченных горячим питанием, в общей </w:t>
            </w:r>
            <w:proofErr w:type="gramStart"/>
            <w:r w:rsidRPr="009A3544">
              <w:rPr>
                <w:rFonts w:ascii="PT Astra Sans" w:hAnsi="PT Astra Sans"/>
                <w:sz w:val="20"/>
                <w:szCs w:val="20"/>
              </w:rPr>
              <w:t>численности</w:t>
            </w:r>
            <w:proofErr w:type="gramEnd"/>
            <w:r w:rsidRPr="009A3544">
              <w:rPr>
                <w:rFonts w:ascii="PT Astra Sans" w:hAnsi="PT Astra Sans"/>
                <w:sz w:val="20"/>
                <w:szCs w:val="20"/>
              </w:rPr>
              <w:t xml:space="preserve"> обучающихся в образовательных организациях Белозерского района.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99,2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99,2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9A3544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Удельный вес численности обучающихся с ограниченными возможностями здоровья (далее – ОВЗ), обучающихся на дому, получающих поддержку из районного бюджета.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9A3544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 xml:space="preserve">Удельный вес численности детей и молодежи, участвующих в деятельности детских и молодежных общественных объединений, в общей </w:t>
            </w:r>
            <w:proofErr w:type="gramStart"/>
            <w:r w:rsidRPr="009A3544">
              <w:rPr>
                <w:rFonts w:ascii="PT Astra Sans" w:hAnsi="PT Astra Sans"/>
                <w:sz w:val="20"/>
                <w:szCs w:val="20"/>
              </w:rPr>
              <w:t>численности</w:t>
            </w:r>
            <w:proofErr w:type="gramEnd"/>
            <w:r w:rsidRPr="009A3544">
              <w:rPr>
                <w:rFonts w:ascii="PT Astra Sans" w:hAnsi="PT Astra Sans"/>
                <w:sz w:val="20"/>
                <w:szCs w:val="20"/>
              </w:rPr>
              <w:t xml:space="preserve"> </w:t>
            </w:r>
            <w:r w:rsidRPr="009A3544">
              <w:rPr>
                <w:rFonts w:ascii="PT Astra Sans" w:hAnsi="PT Astra Sans"/>
                <w:sz w:val="20"/>
                <w:szCs w:val="20"/>
              </w:rPr>
              <w:lastRenderedPageBreak/>
              <w:t>обучающихся в общеобразовательных организациях (процент).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lastRenderedPageBreak/>
              <w:t>%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35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35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lastRenderedPageBreak/>
              <w:t>Доля родителей обучающихся общеобразовательных организаций, вовлеченных в управление учебно- воспитательным процессом и социально значимую деятельность, от общего числа родителей обучающихся общеобразовательных организаций (процент).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17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17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Доля детей, охваченных образовательными программами дополнительного образования детей, в общей численности детей и молодежи от 5 до 18 лет (процент).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78,5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78,5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Доля детей в возрасте от 5 до 18 лет, использующих сертификаты дополнительного образования, в общей численности детей и молодежи от 5 до 18 лет, имеющих право на получение дополнительного образования в рамках системы персонифицированного финансирования (процент).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35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35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TableParagraph"/>
              <w:tabs>
                <w:tab w:val="left" w:pos="817"/>
                <w:tab w:val="left" w:pos="3482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Доля детей-сирот и детей, оставшихся без попечения родителей, переданных на воспитание в семьи граждан, от общего количества детей-сирот и детей, оставшихся без попечения родителей (процент)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9A3544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Удельный вес численности учителей в возрасте до 35 лет в общей численности учителей общеобразовательных организаций Белозерского района (процент).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18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18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Доля педагогических работников образовательных организаций, прошедших переподготовку или повышение квалификации по вопросам образования обучающихся с ОВЗ и</w:t>
            </w:r>
          </w:p>
          <w:p w:rsidR="00D75C86" w:rsidRPr="009A3544" w:rsidRDefault="00D75C86" w:rsidP="007D7923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инвалидностью, в общей численности педагогических работников, работающих с детьми с ОВЗ (процент)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50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50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lastRenderedPageBreak/>
              <w:t>Доля детей в возрасте от 6 до 18 лет, охваченных организованными формами отдыха, оздоровления и досуга в каникулярное время от общего количества детей от 6 до 18 лет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Доля объектов образовательных организаций, обеспеченных установкой систем, автоматически передающих сигнал о возникновении пожара на пульт пожарной части без помощи человека, в общем числе объектов образовательных организаций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  <w:tr w:rsidR="00D75C86" w:rsidRPr="009A3544" w:rsidTr="007D7923">
        <w:trPr>
          <w:trHeight w:val="360"/>
        </w:trPr>
        <w:tc>
          <w:tcPr>
            <w:tcW w:w="137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TableParagraph"/>
              <w:tabs>
                <w:tab w:val="left" w:pos="817"/>
                <w:tab w:val="left" w:pos="963"/>
                <w:tab w:val="left" w:pos="6970"/>
              </w:tabs>
              <w:ind w:right="283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Число новых мест в общеобразовательных организациях Белозерского района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Кол-во мест</w:t>
            </w:r>
          </w:p>
        </w:tc>
        <w:tc>
          <w:tcPr>
            <w:tcW w:w="580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1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D75C86" w:rsidP="007D792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69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1B146C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10</w:t>
            </w:r>
            <w:r w:rsidR="00D75C86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5C86" w:rsidRPr="009A3544" w:rsidRDefault="007D7923" w:rsidP="007D792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</w:t>
            </w:r>
          </w:p>
        </w:tc>
      </w:tr>
    </w:tbl>
    <w:p w:rsidR="00093D19" w:rsidRPr="009A3544" w:rsidRDefault="00093D19" w:rsidP="00093D19">
      <w:pPr>
        <w:pStyle w:val="Standard"/>
        <w:ind w:firstLine="709"/>
        <w:jc w:val="both"/>
        <w:rPr>
          <w:rFonts w:ascii="PT Astra Sans" w:hAnsi="PT Astra Sans"/>
          <w:sz w:val="20"/>
          <w:szCs w:val="20"/>
        </w:rPr>
      </w:pPr>
    </w:p>
    <w:p w:rsidR="00093D19" w:rsidRPr="009A3544" w:rsidRDefault="00093D19" w:rsidP="00717C23">
      <w:pPr>
        <w:pStyle w:val="Standard"/>
        <w:ind w:firstLine="709"/>
        <w:jc w:val="center"/>
        <w:rPr>
          <w:rFonts w:ascii="PT Astra Sans" w:eastAsia="Times New Roman" w:hAnsi="PT Astra Sans" w:cs="Times New Roman"/>
          <w:sz w:val="20"/>
          <w:szCs w:val="20"/>
          <w:lang w:eastAsia="ru-RU" w:bidi="ar-SA"/>
        </w:rPr>
      </w:pPr>
      <w:r w:rsidRPr="009A3544">
        <w:rPr>
          <w:rFonts w:ascii="PT Astra Sans" w:eastAsia="Times New Roman" w:hAnsi="PT Astra Sans" w:cs="Times New Roman"/>
          <w:sz w:val="20"/>
          <w:szCs w:val="20"/>
          <w:lang w:eastAsia="ru-RU" w:bidi="ar-SA"/>
        </w:rPr>
        <w:t>Сведения о финансир</w:t>
      </w:r>
      <w:r w:rsidR="00717C23" w:rsidRPr="009A3544">
        <w:rPr>
          <w:rFonts w:ascii="PT Astra Sans" w:eastAsia="Times New Roman" w:hAnsi="PT Astra Sans" w:cs="Times New Roman"/>
          <w:sz w:val="20"/>
          <w:szCs w:val="20"/>
          <w:lang w:eastAsia="ru-RU" w:bidi="ar-SA"/>
        </w:rPr>
        <w:t xml:space="preserve">овании муниципальной программы </w:t>
      </w:r>
      <w:r w:rsidRPr="009A3544">
        <w:rPr>
          <w:rFonts w:ascii="PT Astra Sans" w:eastAsia="Times New Roman" w:hAnsi="PT Astra Sans" w:cs="Times New Roman"/>
          <w:sz w:val="20"/>
          <w:szCs w:val="20"/>
          <w:lang w:eastAsia="ru-RU" w:bidi="ar-SA"/>
        </w:rPr>
        <w:t>Белозерского муниципального округа</w:t>
      </w:r>
    </w:p>
    <w:p w:rsidR="00093D19" w:rsidRPr="009A3544" w:rsidRDefault="00093D19" w:rsidP="00717C23">
      <w:pPr>
        <w:suppressAutoHyphens/>
        <w:autoSpaceDE/>
        <w:jc w:val="center"/>
        <w:rPr>
          <w:rFonts w:ascii="PT Astra Sans" w:hAnsi="PT Astra Sans"/>
          <w:kern w:val="3"/>
          <w:sz w:val="20"/>
          <w:szCs w:val="20"/>
          <w:lang w:eastAsia="ru-RU"/>
        </w:rPr>
      </w:pPr>
      <w:r w:rsidRPr="009A3544">
        <w:rPr>
          <w:rFonts w:ascii="PT Astra Sans" w:hAnsi="PT Astra Sans"/>
          <w:kern w:val="3"/>
          <w:sz w:val="20"/>
          <w:szCs w:val="20"/>
          <w:lang w:eastAsia="ru-RU"/>
        </w:rPr>
        <w:t>«Развитие образования в Белозерском районе»  на 2021-2024 годы за 2022 год</w:t>
      </w:r>
    </w:p>
    <w:p w:rsidR="00093D19" w:rsidRPr="009A3544" w:rsidRDefault="00093D19" w:rsidP="00093D19">
      <w:pPr>
        <w:pStyle w:val="Standard"/>
        <w:ind w:firstLine="709"/>
        <w:jc w:val="right"/>
        <w:rPr>
          <w:rFonts w:ascii="PT Astra Sans" w:eastAsia="Times New Roman" w:hAnsi="PT Astra Sans" w:cs="Times New Roman"/>
          <w:sz w:val="20"/>
          <w:szCs w:val="20"/>
          <w:lang w:eastAsia="ru-RU" w:bidi="ar-SA"/>
        </w:rPr>
      </w:pPr>
      <w:r w:rsidRPr="009A3544">
        <w:rPr>
          <w:rFonts w:ascii="PT Astra Sans" w:eastAsia="Times New Roman" w:hAnsi="PT Astra Sans" w:cs="Times New Roman"/>
          <w:sz w:val="20"/>
          <w:szCs w:val="20"/>
          <w:lang w:eastAsia="ru-RU" w:bidi="ar-SA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0"/>
        <w:gridCol w:w="1636"/>
        <w:gridCol w:w="1629"/>
        <w:gridCol w:w="1635"/>
        <w:gridCol w:w="1626"/>
      </w:tblGrid>
      <w:tr w:rsidR="00D75C86" w:rsidRPr="009A3544" w:rsidTr="007D7923">
        <w:trPr>
          <w:trHeight w:val="627"/>
        </w:trPr>
        <w:tc>
          <w:tcPr>
            <w:tcW w:w="2793" w:type="pct"/>
            <w:vMerge w:val="restart"/>
            <w:hideMark/>
          </w:tcPr>
          <w:p w:rsidR="00D75C86" w:rsidRPr="009A3544" w:rsidRDefault="00D75C86" w:rsidP="00311780">
            <w:pPr>
              <w:pStyle w:val="Standard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Источник финансирования</w:t>
            </w:r>
          </w:p>
        </w:tc>
        <w:tc>
          <w:tcPr>
            <w:tcW w:w="1104" w:type="pct"/>
            <w:gridSpan w:val="2"/>
          </w:tcPr>
          <w:p w:rsidR="00D75C86" w:rsidRPr="009A3544" w:rsidRDefault="00D75C86" w:rsidP="00311780">
            <w:pPr>
              <w:pStyle w:val="Standard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2021</w:t>
            </w:r>
          </w:p>
        </w:tc>
        <w:tc>
          <w:tcPr>
            <w:tcW w:w="1103" w:type="pct"/>
            <w:gridSpan w:val="2"/>
          </w:tcPr>
          <w:p w:rsidR="00D75C86" w:rsidRPr="009A3544" w:rsidRDefault="00D75C86" w:rsidP="00093D19">
            <w:pPr>
              <w:pStyle w:val="Standard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 xml:space="preserve"> 2022</w:t>
            </w:r>
          </w:p>
        </w:tc>
      </w:tr>
      <w:tr w:rsidR="00D75C86" w:rsidRPr="009A3544" w:rsidTr="007D7923">
        <w:trPr>
          <w:trHeight w:val="439"/>
        </w:trPr>
        <w:tc>
          <w:tcPr>
            <w:tcW w:w="2793" w:type="pct"/>
            <w:vMerge/>
            <w:vAlign w:val="center"/>
          </w:tcPr>
          <w:p w:rsidR="00D75C86" w:rsidRPr="009A3544" w:rsidRDefault="00D75C86" w:rsidP="00311780">
            <w:pPr>
              <w:ind w:firstLine="709"/>
              <w:rPr>
                <w:rFonts w:ascii="PT Astra Sans" w:hAnsi="PT Astra Sans"/>
                <w:kern w:val="3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</w:tcPr>
          <w:p w:rsidR="00D75C86" w:rsidRPr="009A3544" w:rsidRDefault="00D75C86" w:rsidP="00311780">
            <w:pPr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план</w:t>
            </w:r>
          </w:p>
        </w:tc>
        <w:tc>
          <w:tcPr>
            <w:tcW w:w="551" w:type="pct"/>
            <w:vAlign w:val="center"/>
          </w:tcPr>
          <w:p w:rsidR="00D75C86" w:rsidRPr="009A3544" w:rsidRDefault="00D75C86" w:rsidP="00311780">
            <w:pPr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факт</w:t>
            </w:r>
          </w:p>
        </w:tc>
        <w:tc>
          <w:tcPr>
            <w:tcW w:w="553" w:type="pct"/>
            <w:vAlign w:val="center"/>
          </w:tcPr>
          <w:p w:rsidR="00D75C86" w:rsidRPr="009A3544" w:rsidRDefault="00D75C86" w:rsidP="00311780">
            <w:pPr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план</w:t>
            </w:r>
          </w:p>
        </w:tc>
        <w:tc>
          <w:tcPr>
            <w:tcW w:w="550" w:type="pct"/>
            <w:vAlign w:val="center"/>
          </w:tcPr>
          <w:p w:rsidR="00D75C86" w:rsidRPr="009A3544" w:rsidRDefault="00D75C86" w:rsidP="00311780">
            <w:pPr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факт</w:t>
            </w:r>
          </w:p>
        </w:tc>
      </w:tr>
      <w:tr w:rsidR="007D7923" w:rsidRPr="009A3544" w:rsidTr="007D7923">
        <w:tc>
          <w:tcPr>
            <w:tcW w:w="2793" w:type="pct"/>
            <w:vAlign w:val="center"/>
          </w:tcPr>
          <w:p w:rsidR="007D7923" w:rsidRPr="009A3544" w:rsidRDefault="007D7923" w:rsidP="00311780">
            <w:pPr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ИТОГО</w:t>
            </w:r>
          </w:p>
        </w:tc>
        <w:tc>
          <w:tcPr>
            <w:tcW w:w="553" w:type="pct"/>
            <w:vAlign w:val="center"/>
          </w:tcPr>
          <w:p w:rsidR="007D7923" w:rsidRPr="009A3544" w:rsidRDefault="007D7923" w:rsidP="007D7923">
            <w:pPr>
              <w:widowControl/>
              <w:autoSpaceDE/>
              <w:autoSpaceDN/>
              <w:spacing w:line="234" w:lineRule="exact"/>
              <w:ind w:left="110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436550,6</w:t>
            </w:r>
          </w:p>
        </w:tc>
        <w:tc>
          <w:tcPr>
            <w:tcW w:w="551" w:type="pct"/>
            <w:vAlign w:val="center"/>
          </w:tcPr>
          <w:p w:rsidR="007D7923" w:rsidRPr="009A3544" w:rsidRDefault="007D7923" w:rsidP="007D7923">
            <w:pPr>
              <w:widowControl/>
              <w:autoSpaceDE/>
              <w:autoSpaceDN/>
              <w:spacing w:line="276" w:lineRule="auto"/>
              <w:jc w:val="center"/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367346,9</w:t>
            </w:r>
          </w:p>
        </w:tc>
        <w:tc>
          <w:tcPr>
            <w:tcW w:w="553" w:type="pct"/>
            <w:vAlign w:val="center"/>
          </w:tcPr>
          <w:p w:rsidR="007D7923" w:rsidRPr="009A3544" w:rsidRDefault="009A3544" w:rsidP="009A3544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737870,3</w:t>
            </w:r>
          </w:p>
        </w:tc>
        <w:tc>
          <w:tcPr>
            <w:tcW w:w="550" w:type="pct"/>
            <w:vAlign w:val="center"/>
          </w:tcPr>
          <w:p w:rsidR="007D7923" w:rsidRPr="009A3544" w:rsidRDefault="009A3544" w:rsidP="009A3544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352946</w:t>
            </w:r>
          </w:p>
        </w:tc>
      </w:tr>
      <w:tr w:rsidR="007D7923" w:rsidRPr="009A3544" w:rsidTr="007D7923">
        <w:tc>
          <w:tcPr>
            <w:tcW w:w="2793" w:type="pct"/>
            <w:vAlign w:val="center"/>
          </w:tcPr>
          <w:p w:rsidR="007D7923" w:rsidRPr="009A3544" w:rsidRDefault="007D7923" w:rsidP="00311780">
            <w:pPr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федеральный бюджет</w:t>
            </w:r>
          </w:p>
        </w:tc>
        <w:tc>
          <w:tcPr>
            <w:tcW w:w="553" w:type="pct"/>
            <w:vAlign w:val="center"/>
          </w:tcPr>
          <w:p w:rsidR="007D7923" w:rsidRPr="009A3544" w:rsidRDefault="007D7923" w:rsidP="007D7923">
            <w:pPr>
              <w:widowControl/>
              <w:autoSpaceDE/>
              <w:autoSpaceDN/>
              <w:spacing w:line="234" w:lineRule="exact"/>
              <w:ind w:left="110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18235,5</w:t>
            </w:r>
          </w:p>
        </w:tc>
        <w:tc>
          <w:tcPr>
            <w:tcW w:w="551" w:type="pct"/>
            <w:vAlign w:val="center"/>
          </w:tcPr>
          <w:p w:rsidR="007D7923" w:rsidRPr="009A3544" w:rsidRDefault="007D7923" w:rsidP="007D7923">
            <w:pPr>
              <w:widowControl/>
              <w:autoSpaceDE/>
              <w:autoSpaceDN/>
              <w:spacing w:line="276" w:lineRule="auto"/>
              <w:jc w:val="center"/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15685,9</w:t>
            </w:r>
          </w:p>
        </w:tc>
        <w:tc>
          <w:tcPr>
            <w:tcW w:w="553" w:type="pct"/>
            <w:vAlign w:val="center"/>
          </w:tcPr>
          <w:p w:rsidR="007D7923" w:rsidRPr="009A3544" w:rsidRDefault="009A3544" w:rsidP="009A3544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167464,1</w:t>
            </w:r>
          </w:p>
        </w:tc>
        <w:tc>
          <w:tcPr>
            <w:tcW w:w="550" w:type="pct"/>
            <w:vAlign w:val="center"/>
          </w:tcPr>
          <w:p w:rsidR="007D7923" w:rsidRPr="009A3544" w:rsidRDefault="009A3544" w:rsidP="009A3544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80118,8</w:t>
            </w:r>
          </w:p>
        </w:tc>
      </w:tr>
      <w:tr w:rsidR="007D7923" w:rsidRPr="009A3544" w:rsidTr="007D7923">
        <w:tc>
          <w:tcPr>
            <w:tcW w:w="2793" w:type="pct"/>
            <w:vAlign w:val="center"/>
          </w:tcPr>
          <w:p w:rsidR="007D7923" w:rsidRPr="009A3544" w:rsidRDefault="007D7923" w:rsidP="00311780">
            <w:pPr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областной бюджет</w:t>
            </w:r>
          </w:p>
        </w:tc>
        <w:tc>
          <w:tcPr>
            <w:tcW w:w="553" w:type="pct"/>
            <w:vAlign w:val="center"/>
          </w:tcPr>
          <w:p w:rsidR="007D7923" w:rsidRPr="009A3544" w:rsidRDefault="007D7923" w:rsidP="007D7923">
            <w:pPr>
              <w:widowControl/>
              <w:autoSpaceDE/>
              <w:autoSpaceDN/>
              <w:spacing w:line="234" w:lineRule="exact"/>
              <w:ind w:left="110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245940,6</w:t>
            </w:r>
          </w:p>
        </w:tc>
        <w:tc>
          <w:tcPr>
            <w:tcW w:w="551" w:type="pct"/>
            <w:vAlign w:val="center"/>
          </w:tcPr>
          <w:p w:rsidR="007D7923" w:rsidRPr="009A3544" w:rsidRDefault="007D7923" w:rsidP="007D7923">
            <w:pPr>
              <w:widowControl/>
              <w:autoSpaceDE/>
              <w:autoSpaceDN/>
              <w:spacing w:line="276" w:lineRule="auto"/>
              <w:jc w:val="center"/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195296,3</w:t>
            </w:r>
          </w:p>
        </w:tc>
        <w:tc>
          <w:tcPr>
            <w:tcW w:w="553" w:type="pct"/>
            <w:vAlign w:val="center"/>
          </w:tcPr>
          <w:p w:rsidR="007D7923" w:rsidRPr="009A3544" w:rsidRDefault="009A3544" w:rsidP="009A3544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305494,4</w:t>
            </w:r>
          </w:p>
        </w:tc>
        <w:tc>
          <w:tcPr>
            <w:tcW w:w="550" w:type="pct"/>
            <w:vAlign w:val="center"/>
          </w:tcPr>
          <w:p w:rsidR="007D7923" w:rsidRPr="009A3544" w:rsidRDefault="009A3544" w:rsidP="009A3544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146119,6</w:t>
            </w:r>
          </w:p>
        </w:tc>
      </w:tr>
      <w:tr w:rsidR="007D7923" w:rsidRPr="009A3544" w:rsidTr="007D7923">
        <w:tc>
          <w:tcPr>
            <w:tcW w:w="2793" w:type="pct"/>
            <w:vAlign w:val="center"/>
          </w:tcPr>
          <w:p w:rsidR="007D7923" w:rsidRPr="009A3544" w:rsidRDefault="007D7923" w:rsidP="00311780">
            <w:pPr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553" w:type="pct"/>
            <w:vAlign w:val="center"/>
          </w:tcPr>
          <w:p w:rsidR="007D7923" w:rsidRPr="009A3544" w:rsidRDefault="007D7923" w:rsidP="007D7923">
            <w:pPr>
              <w:widowControl/>
              <w:autoSpaceDE/>
              <w:autoSpaceDN/>
              <w:spacing w:line="234" w:lineRule="exact"/>
              <w:ind w:left="110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172374,5</w:t>
            </w:r>
          </w:p>
        </w:tc>
        <w:tc>
          <w:tcPr>
            <w:tcW w:w="551" w:type="pct"/>
            <w:vAlign w:val="center"/>
          </w:tcPr>
          <w:p w:rsidR="007D7923" w:rsidRPr="009A3544" w:rsidRDefault="007D7923" w:rsidP="007D7923">
            <w:pPr>
              <w:widowControl/>
              <w:autoSpaceDE/>
              <w:autoSpaceDN/>
              <w:spacing w:line="276" w:lineRule="auto"/>
              <w:jc w:val="center"/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156364,7</w:t>
            </w:r>
          </w:p>
        </w:tc>
        <w:tc>
          <w:tcPr>
            <w:tcW w:w="553" w:type="pct"/>
            <w:vAlign w:val="center"/>
          </w:tcPr>
          <w:p w:rsidR="007D7923" w:rsidRPr="009A3544" w:rsidRDefault="009A3544" w:rsidP="009A3544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264911,8</w:t>
            </w:r>
          </w:p>
        </w:tc>
        <w:tc>
          <w:tcPr>
            <w:tcW w:w="550" w:type="pct"/>
            <w:vAlign w:val="center"/>
          </w:tcPr>
          <w:p w:rsidR="007D7923" w:rsidRPr="009A3544" w:rsidRDefault="009A3544" w:rsidP="009A3544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</w:rPr>
            </w:pPr>
            <w:r w:rsidRPr="009A3544">
              <w:rPr>
                <w:rFonts w:ascii="PT Astra Sans" w:hAnsi="PT Astra Sans"/>
                <w:kern w:val="3"/>
                <w:sz w:val="20"/>
                <w:szCs w:val="20"/>
              </w:rPr>
              <w:t>126707,6</w:t>
            </w:r>
          </w:p>
        </w:tc>
      </w:tr>
    </w:tbl>
    <w:p w:rsidR="00717C23" w:rsidRPr="009A3544" w:rsidRDefault="00717C23" w:rsidP="00BE37E2">
      <w:pPr>
        <w:pStyle w:val="Standard"/>
        <w:rPr>
          <w:rFonts w:ascii="PT Astra Sans" w:eastAsia="Times New Roman" w:hAnsi="PT Astra Sans" w:cs="Times New Roman"/>
          <w:sz w:val="20"/>
          <w:szCs w:val="20"/>
          <w:lang w:eastAsia="ru-RU" w:bidi="ar-SA"/>
        </w:rPr>
      </w:pPr>
    </w:p>
    <w:p w:rsidR="00717C23" w:rsidRPr="009A3544" w:rsidRDefault="00093D19" w:rsidP="00717C23">
      <w:pPr>
        <w:suppressAutoHyphens/>
        <w:autoSpaceDE/>
        <w:jc w:val="center"/>
        <w:rPr>
          <w:rFonts w:ascii="PT Astra Sans" w:hAnsi="PT Astra Sans" w:cs="Arial"/>
          <w:sz w:val="20"/>
          <w:szCs w:val="20"/>
          <w:lang w:eastAsia="ru-RU"/>
        </w:rPr>
      </w:pPr>
      <w:r w:rsidRPr="009A3544">
        <w:rPr>
          <w:rFonts w:ascii="PT Astra Sans" w:hAnsi="PT Astra Sans" w:cs="Arial"/>
          <w:sz w:val="20"/>
          <w:szCs w:val="20"/>
          <w:lang w:eastAsia="ru-RU"/>
        </w:rPr>
        <w:t>Оценка эффективности результатов реализации  муниципальной программы</w:t>
      </w:r>
      <w:r w:rsidR="00717C23" w:rsidRPr="009A3544">
        <w:rPr>
          <w:rFonts w:ascii="PT Astra Sans" w:hAnsi="PT Astra Sans" w:cs="Arial"/>
          <w:sz w:val="20"/>
          <w:szCs w:val="20"/>
          <w:lang w:eastAsia="ru-RU"/>
        </w:rPr>
        <w:t xml:space="preserve">  </w:t>
      </w:r>
      <w:r w:rsidR="00717C23" w:rsidRPr="009A3544">
        <w:rPr>
          <w:rFonts w:ascii="PT Astra Sans" w:hAnsi="PT Astra Sans"/>
          <w:kern w:val="3"/>
          <w:sz w:val="20"/>
          <w:szCs w:val="20"/>
          <w:lang w:eastAsia="ru-RU"/>
        </w:rPr>
        <w:t xml:space="preserve">«Развитие образования в Белозерском районе»  на 2021-2024 годы за 2022 год </w:t>
      </w:r>
    </w:p>
    <w:p w:rsidR="00093D19" w:rsidRPr="009A3544" w:rsidRDefault="00717C23" w:rsidP="00093D19">
      <w:pPr>
        <w:pStyle w:val="Standard"/>
        <w:ind w:firstLine="709"/>
        <w:jc w:val="center"/>
        <w:rPr>
          <w:rFonts w:ascii="PT Astra Sans" w:eastAsia="Times New Roman" w:hAnsi="PT Astra Sans" w:cs="Arial"/>
          <w:sz w:val="20"/>
          <w:szCs w:val="20"/>
          <w:lang w:eastAsia="ru-RU" w:bidi="ar-SA"/>
        </w:rPr>
      </w:pPr>
      <w:r w:rsidRPr="009A3544">
        <w:rPr>
          <w:rFonts w:ascii="PT Astra Sans" w:eastAsia="Times New Roman" w:hAnsi="PT Astra Sans" w:cs="Arial"/>
          <w:sz w:val="20"/>
          <w:szCs w:val="20"/>
          <w:lang w:eastAsia="ru-RU" w:bidi="ar-SA"/>
        </w:rPr>
        <w:t xml:space="preserve"> </w:t>
      </w:r>
    </w:p>
    <w:tbl>
      <w:tblPr>
        <w:tblW w:w="1475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90"/>
        <w:gridCol w:w="2126"/>
        <w:gridCol w:w="4536"/>
      </w:tblGrid>
      <w:tr w:rsidR="00093D19" w:rsidRPr="009A3544" w:rsidTr="00717C23">
        <w:trPr>
          <w:trHeight w:val="10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93D19" w:rsidRPr="009A3544" w:rsidRDefault="00093D19" w:rsidP="00311780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93D19" w:rsidRPr="009A3544" w:rsidRDefault="00093D19" w:rsidP="00311780">
            <w:pPr>
              <w:pStyle w:val="Standard"/>
              <w:snapToGrid w:val="0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93D19" w:rsidRPr="009A3544" w:rsidRDefault="00093D19" w:rsidP="0031178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093D19" w:rsidRPr="009A3544" w:rsidTr="00717C23">
        <w:trPr>
          <w:trHeight w:val="240"/>
        </w:trPr>
        <w:tc>
          <w:tcPr>
            <w:tcW w:w="8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3D19" w:rsidRPr="009A3544" w:rsidRDefault="00093D19" w:rsidP="001B146C">
            <w:pPr>
              <w:pStyle w:val="Standard"/>
              <w:snapToGrid w:val="0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Ожидаемая эффективность достигнута</w:t>
            </w:r>
            <w:r w:rsidR="007D7923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3D19" w:rsidRPr="009A3544" w:rsidRDefault="001B146C" w:rsidP="007D7923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+</w:t>
            </w:r>
            <w:r w:rsidR="007D7923"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18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3D19" w:rsidRPr="009A3544" w:rsidRDefault="007D7923" w:rsidP="007D7923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9A3544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 xml:space="preserve">Продолжить реализацию муниципальной программы </w:t>
            </w:r>
          </w:p>
        </w:tc>
      </w:tr>
    </w:tbl>
    <w:p w:rsidR="00093D19" w:rsidRPr="009A3544" w:rsidRDefault="00093D19" w:rsidP="00093D19">
      <w:pPr>
        <w:pStyle w:val="Standard"/>
        <w:ind w:firstLine="709"/>
        <w:jc w:val="both"/>
        <w:rPr>
          <w:rFonts w:ascii="PT Astra Sans" w:hAnsi="PT Astra Sans"/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7D7923" w:rsidRPr="009A3544" w:rsidTr="00C7227D">
        <w:tc>
          <w:tcPr>
            <w:tcW w:w="7393" w:type="dxa"/>
          </w:tcPr>
          <w:p w:rsidR="007D7923" w:rsidRPr="009A3544" w:rsidRDefault="007D7923" w:rsidP="00C7227D">
            <w:pPr>
              <w:rPr>
                <w:rFonts w:ascii="PT Astra Sans" w:hAnsi="PT Astra Sans"/>
                <w:sz w:val="20"/>
                <w:szCs w:val="20"/>
              </w:rPr>
            </w:pPr>
          </w:p>
          <w:p w:rsidR="007D7923" w:rsidRPr="009A3544" w:rsidRDefault="007D7923" w:rsidP="00C7227D">
            <w:pPr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>Начальник Отдела образования</w:t>
            </w:r>
          </w:p>
        </w:tc>
        <w:tc>
          <w:tcPr>
            <w:tcW w:w="7393" w:type="dxa"/>
          </w:tcPr>
          <w:p w:rsidR="007D7923" w:rsidRPr="009A3544" w:rsidRDefault="007D7923" w:rsidP="00C7227D">
            <w:pPr>
              <w:jc w:val="right"/>
              <w:rPr>
                <w:rFonts w:ascii="PT Astra Sans" w:hAnsi="PT Astra Sans"/>
                <w:sz w:val="20"/>
                <w:szCs w:val="20"/>
              </w:rPr>
            </w:pPr>
          </w:p>
          <w:p w:rsidR="007D7923" w:rsidRPr="009A3544" w:rsidRDefault="007D7923" w:rsidP="00C7227D">
            <w:pPr>
              <w:jc w:val="right"/>
              <w:rPr>
                <w:rFonts w:ascii="PT Astra Sans" w:hAnsi="PT Astra Sans"/>
                <w:sz w:val="20"/>
                <w:szCs w:val="20"/>
              </w:rPr>
            </w:pPr>
            <w:r w:rsidRPr="009A3544">
              <w:rPr>
                <w:rFonts w:ascii="PT Astra Sans" w:hAnsi="PT Astra Sans"/>
                <w:sz w:val="20"/>
                <w:szCs w:val="20"/>
              </w:rPr>
              <w:t xml:space="preserve">С.В. </w:t>
            </w:r>
            <w:proofErr w:type="spellStart"/>
            <w:r w:rsidRPr="009A3544">
              <w:rPr>
                <w:rFonts w:ascii="PT Astra Sans" w:hAnsi="PT Astra Sans"/>
                <w:sz w:val="20"/>
                <w:szCs w:val="20"/>
              </w:rPr>
              <w:t>Абабкова</w:t>
            </w:r>
            <w:proofErr w:type="spellEnd"/>
          </w:p>
        </w:tc>
      </w:tr>
    </w:tbl>
    <w:p w:rsidR="007D7923" w:rsidRPr="009A3544" w:rsidRDefault="007D7923" w:rsidP="009A3544">
      <w:pPr>
        <w:rPr>
          <w:rFonts w:ascii="PT Astra Sans" w:hAnsi="PT Astra Sans"/>
          <w:sz w:val="20"/>
          <w:szCs w:val="20"/>
        </w:rPr>
      </w:pPr>
    </w:p>
    <w:sectPr w:rsidR="007D7923" w:rsidRPr="009A3544" w:rsidSect="00717C2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65FEC"/>
    <w:multiLevelType w:val="hybridMultilevel"/>
    <w:tmpl w:val="9E4AF9B4"/>
    <w:lvl w:ilvl="0" w:tplc="5536800E">
      <w:numFmt w:val="bullet"/>
      <w:lvlText w:val="‒"/>
      <w:lvlJc w:val="left"/>
      <w:pPr>
        <w:ind w:left="940" w:hanging="346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2CEF15EC"/>
    <w:multiLevelType w:val="hybridMultilevel"/>
    <w:tmpl w:val="4358E666"/>
    <w:lvl w:ilvl="0" w:tplc="5536800E">
      <w:numFmt w:val="bullet"/>
      <w:lvlText w:val="‒"/>
      <w:lvlJc w:val="left"/>
      <w:pPr>
        <w:ind w:left="304" w:hanging="245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ru-RU" w:bidi="ru-RU"/>
      </w:rPr>
    </w:lvl>
    <w:lvl w:ilvl="1" w:tplc="2C9233BC">
      <w:numFmt w:val="bullet"/>
      <w:lvlText w:val="•"/>
      <w:lvlJc w:val="left"/>
      <w:pPr>
        <w:ind w:left="1008" w:hanging="245"/>
      </w:pPr>
      <w:rPr>
        <w:lang w:val="ru-RU" w:eastAsia="ru-RU" w:bidi="ru-RU"/>
      </w:rPr>
    </w:lvl>
    <w:lvl w:ilvl="2" w:tplc="30F0F596">
      <w:numFmt w:val="bullet"/>
      <w:lvlText w:val="•"/>
      <w:lvlJc w:val="left"/>
      <w:pPr>
        <w:ind w:left="1716" w:hanging="245"/>
      </w:pPr>
      <w:rPr>
        <w:lang w:val="ru-RU" w:eastAsia="ru-RU" w:bidi="ru-RU"/>
      </w:rPr>
    </w:lvl>
    <w:lvl w:ilvl="3" w:tplc="1646F67C">
      <w:numFmt w:val="bullet"/>
      <w:lvlText w:val="•"/>
      <w:lvlJc w:val="left"/>
      <w:pPr>
        <w:ind w:left="2424" w:hanging="245"/>
      </w:pPr>
      <w:rPr>
        <w:lang w:val="ru-RU" w:eastAsia="ru-RU" w:bidi="ru-RU"/>
      </w:rPr>
    </w:lvl>
    <w:lvl w:ilvl="4" w:tplc="9EE89FFC">
      <w:numFmt w:val="bullet"/>
      <w:lvlText w:val="•"/>
      <w:lvlJc w:val="left"/>
      <w:pPr>
        <w:ind w:left="3132" w:hanging="245"/>
      </w:pPr>
      <w:rPr>
        <w:lang w:val="ru-RU" w:eastAsia="ru-RU" w:bidi="ru-RU"/>
      </w:rPr>
    </w:lvl>
    <w:lvl w:ilvl="5" w:tplc="267EF1AE">
      <w:numFmt w:val="bullet"/>
      <w:lvlText w:val="•"/>
      <w:lvlJc w:val="left"/>
      <w:pPr>
        <w:ind w:left="3841" w:hanging="245"/>
      </w:pPr>
      <w:rPr>
        <w:lang w:val="ru-RU" w:eastAsia="ru-RU" w:bidi="ru-RU"/>
      </w:rPr>
    </w:lvl>
    <w:lvl w:ilvl="6" w:tplc="449A567E">
      <w:numFmt w:val="bullet"/>
      <w:lvlText w:val="•"/>
      <w:lvlJc w:val="left"/>
      <w:pPr>
        <w:ind w:left="4549" w:hanging="245"/>
      </w:pPr>
      <w:rPr>
        <w:lang w:val="ru-RU" w:eastAsia="ru-RU" w:bidi="ru-RU"/>
      </w:rPr>
    </w:lvl>
    <w:lvl w:ilvl="7" w:tplc="7270A094">
      <w:numFmt w:val="bullet"/>
      <w:lvlText w:val="•"/>
      <w:lvlJc w:val="left"/>
      <w:pPr>
        <w:ind w:left="5257" w:hanging="245"/>
      </w:pPr>
      <w:rPr>
        <w:lang w:val="ru-RU" w:eastAsia="ru-RU" w:bidi="ru-RU"/>
      </w:rPr>
    </w:lvl>
    <w:lvl w:ilvl="8" w:tplc="F678EBEC">
      <w:numFmt w:val="bullet"/>
      <w:lvlText w:val="•"/>
      <w:lvlJc w:val="left"/>
      <w:pPr>
        <w:ind w:left="5965" w:hanging="245"/>
      </w:pPr>
      <w:rPr>
        <w:lang w:val="ru-RU" w:eastAsia="ru-RU" w:bidi="ru-RU"/>
      </w:rPr>
    </w:lvl>
  </w:abstractNum>
  <w:abstractNum w:abstractNumId="2">
    <w:nsid w:val="4277244F"/>
    <w:multiLevelType w:val="hybridMultilevel"/>
    <w:tmpl w:val="D1CAB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6E9"/>
    <w:rsid w:val="00093D19"/>
    <w:rsid w:val="00110C6E"/>
    <w:rsid w:val="0017372C"/>
    <w:rsid w:val="001B146C"/>
    <w:rsid w:val="00652EFB"/>
    <w:rsid w:val="00717C23"/>
    <w:rsid w:val="007D7923"/>
    <w:rsid w:val="009900A8"/>
    <w:rsid w:val="009A3544"/>
    <w:rsid w:val="00BE37E2"/>
    <w:rsid w:val="00C07A2F"/>
    <w:rsid w:val="00D07BEE"/>
    <w:rsid w:val="00D75C86"/>
    <w:rsid w:val="00E4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5E011D-FB5F-4C6F-AA83-83DECCBC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93D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093D19"/>
    <w:pPr>
      <w:ind w:left="39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93D19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93D19"/>
  </w:style>
  <w:style w:type="table" w:customStyle="1" w:styleId="TableNormal">
    <w:name w:val="Table Normal"/>
    <w:uiPriority w:val="2"/>
    <w:semiHidden/>
    <w:qFormat/>
    <w:rsid w:val="00093D1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59"/>
    <w:rsid w:val="00093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93D1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9A35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354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3186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Arm-P</cp:lastModifiedBy>
  <cp:revision>7</cp:revision>
  <cp:lastPrinted>2023-03-02T06:34:00Z</cp:lastPrinted>
  <dcterms:created xsi:type="dcterms:W3CDTF">2023-02-28T10:12:00Z</dcterms:created>
  <dcterms:modified xsi:type="dcterms:W3CDTF">2023-03-02T06:34:00Z</dcterms:modified>
</cp:coreProperties>
</file>