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752" w:rsidRPr="00C929B4" w:rsidRDefault="00D91CC7" w:rsidP="002E7752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О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>ценк</w:t>
      </w: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а 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эффективности реализации  </w:t>
      </w:r>
      <w:r w:rsidR="002E7752" w:rsidRPr="00C929B4">
        <w:rPr>
          <w:rFonts w:ascii="PT Astra Sans" w:eastAsia="Times New Roman" w:hAnsi="PT Astra Sans" w:cs="Times New Roman"/>
          <w:b/>
          <w:lang w:eastAsia="ru-RU" w:bidi="ar-SA"/>
        </w:rPr>
        <w:t>Муниципальн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>ой</w:t>
      </w:r>
      <w:r w:rsidR="002E7752"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программ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>ы</w:t>
      </w:r>
      <w:r w:rsidR="002E7752"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</w:p>
    <w:p w:rsidR="004E0034" w:rsidRPr="00C929B4" w:rsidRDefault="004E0034" w:rsidP="004E003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«Сохранение и развитие культуры Белозерского района» </w:t>
      </w:r>
    </w:p>
    <w:p w:rsidR="002E7752" w:rsidRPr="00C929B4" w:rsidRDefault="004E0034" w:rsidP="004E003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на 20</w:t>
      </w:r>
      <w:r w:rsidR="005E3F9B" w:rsidRPr="00C929B4">
        <w:rPr>
          <w:rFonts w:ascii="PT Astra Sans" w:eastAsia="Times New Roman" w:hAnsi="PT Astra Sans" w:cs="Times New Roman"/>
          <w:b/>
          <w:lang w:eastAsia="ru-RU" w:bidi="ar-SA"/>
        </w:rPr>
        <w:t>21</w:t>
      </w:r>
      <w:r w:rsidRPr="00C929B4">
        <w:rPr>
          <w:rFonts w:ascii="PT Astra Sans" w:eastAsia="Times New Roman" w:hAnsi="PT Astra Sans" w:cs="Times New Roman"/>
          <w:b/>
          <w:lang w:eastAsia="ru-RU" w:bidi="ar-SA"/>
        </w:rPr>
        <w:t>-202</w:t>
      </w:r>
      <w:r w:rsidR="005E3F9B" w:rsidRPr="00C929B4">
        <w:rPr>
          <w:rFonts w:ascii="PT Astra Sans" w:eastAsia="Times New Roman" w:hAnsi="PT Astra Sans" w:cs="Times New Roman"/>
          <w:b/>
          <w:lang w:eastAsia="ru-RU" w:bidi="ar-SA"/>
        </w:rPr>
        <w:t>5</w:t>
      </w: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годы</w:t>
      </w:r>
    </w:p>
    <w:p w:rsidR="002E7752" w:rsidRPr="00C929B4" w:rsidRDefault="002E7752" w:rsidP="002E7752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9B3C19" w:rsidRPr="00C929B4" w:rsidRDefault="00874CCC" w:rsidP="009B3C19">
      <w:pPr>
        <w:jc w:val="center"/>
        <w:rPr>
          <w:rFonts w:ascii="PT Astra Sans" w:hAnsi="PT Astra Sans"/>
          <w:b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 xml:space="preserve">           </w:t>
      </w:r>
      <w:r w:rsidR="009B3C19" w:rsidRPr="00C929B4">
        <w:rPr>
          <w:rFonts w:ascii="PT Astra Sans" w:hAnsi="PT Astra Sans"/>
          <w:b/>
          <w:sz w:val="24"/>
          <w:szCs w:val="24"/>
        </w:rPr>
        <w:t xml:space="preserve">Раздел </w:t>
      </w:r>
      <w:r w:rsidR="009B3C19" w:rsidRPr="00C929B4">
        <w:rPr>
          <w:rFonts w:ascii="PT Astra Sans" w:hAnsi="PT Astra Sans"/>
          <w:b/>
          <w:sz w:val="24"/>
          <w:szCs w:val="24"/>
          <w:lang w:val="en-US"/>
        </w:rPr>
        <w:t>I</w:t>
      </w:r>
      <w:r w:rsidR="009B3C19" w:rsidRPr="00C929B4">
        <w:rPr>
          <w:rFonts w:ascii="PT Astra Sans" w:hAnsi="PT Astra Sans"/>
          <w:b/>
          <w:sz w:val="24"/>
          <w:szCs w:val="24"/>
        </w:rPr>
        <w:t>. Паспорт Муниципальной 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790"/>
      </w:tblGrid>
      <w:tr w:rsidR="00293C84" w:rsidRPr="00293C84" w:rsidTr="00C929B4">
        <w:trPr>
          <w:trHeight w:val="392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Муниципальная программа Белозерского района «Сохранение и развитие культуры Белозерского района» на 2021-2025 годы (далее - Программа)</w:t>
            </w:r>
          </w:p>
        </w:tc>
      </w:tr>
      <w:tr w:rsidR="00293C84" w:rsidRPr="00293C84" w:rsidTr="00C929B4">
        <w:trPr>
          <w:trHeight w:val="400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Отдел культуры Администрации Белозерского района</w:t>
            </w:r>
          </w:p>
        </w:tc>
      </w:tr>
      <w:tr w:rsidR="00293C84" w:rsidRPr="00293C84" w:rsidTr="00C929B4">
        <w:trPr>
          <w:trHeight w:val="1191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Соисполнители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 xml:space="preserve">Отдел образования, сектор социальной политики, Администрации сельсоветов Белозерского района (по согласованию), муниципальные учреждения культуры и образования в сфере культуры, Белозерский филиал ГБУ «Комплексный центр социального обслуживания населения по </w:t>
            </w:r>
            <w:proofErr w:type="spellStart"/>
            <w:r w:rsidRPr="00293C84">
              <w:rPr>
                <w:rFonts w:ascii="PT Astra Sans" w:hAnsi="PT Astra Sans"/>
                <w:sz w:val="24"/>
                <w:szCs w:val="24"/>
              </w:rPr>
              <w:t>Кетовскому</w:t>
            </w:r>
            <w:proofErr w:type="spellEnd"/>
            <w:r w:rsidRPr="00293C84">
              <w:rPr>
                <w:rFonts w:ascii="PT Astra Sans" w:hAnsi="PT Astra Sans"/>
                <w:sz w:val="24"/>
                <w:szCs w:val="24"/>
              </w:rPr>
              <w:t xml:space="preserve">, Белозерскому, </w:t>
            </w:r>
            <w:proofErr w:type="spellStart"/>
            <w:r w:rsidRPr="00293C84">
              <w:rPr>
                <w:rFonts w:ascii="PT Astra Sans" w:hAnsi="PT Astra Sans"/>
                <w:sz w:val="24"/>
                <w:szCs w:val="24"/>
              </w:rPr>
              <w:t>Половинскому</w:t>
            </w:r>
            <w:proofErr w:type="spellEnd"/>
            <w:r w:rsidRPr="00293C84">
              <w:rPr>
                <w:rFonts w:ascii="PT Astra Sans" w:hAnsi="PT Astra Sans"/>
                <w:sz w:val="24"/>
                <w:szCs w:val="24"/>
              </w:rPr>
              <w:t xml:space="preserve"> районам (по согласованию), другие заинтересованные организации Белозерского района, участвующие в Программе (по согласованию)</w:t>
            </w:r>
          </w:p>
        </w:tc>
      </w:tr>
      <w:tr w:rsidR="00293C84" w:rsidRPr="00293C84" w:rsidTr="00C929B4">
        <w:trPr>
          <w:trHeight w:val="596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Цель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Удовлетворение потребностей жителей Белозерского района в предоставлении услуг в сфере культуры</w:t>
            </w:r>
          </w:p>
        </w:tc>
      </w:tr>
      <w:tr w:rsidR="00293C84" w:rsidRPr="00293C84" w:rsidTr="00C929B4">
        <w:trPr>
          <w:trHeight w:val="1191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Задачи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1. Обеспечение доступа граждан к культурным ценностям и участию в культурной жизни, реализация творческого потенциала жителей Белозерского района.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2. Создание благоприятных условий для устойчивого развития сферы культуры Курганской области.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 xml:space="preserve">3. Предоставление населению муниципальных услуг в сфере культуры. 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4. Выполнение муниципальных функций по нормативно-правовому регулированию, контролю и надзору в сфере культуры.</w:t>
            </w:r>
          </w:p>
        </w:tc>
      </w:tr>
      <w:tr w:rsidR="00293C84" w:rsidRPr="00293C84" w:rsidTr="00C929B4">
        <w:trPr>
          <w:trHeight w:val="843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 xml:space="preserve">Количество посещений гражданами учреждений культуры, тыс. 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Доля лауреатов и дипломантов международных, межрегиональных, областных, зональных конкурсов и фестивалей в сфере культуры от общего количества участников,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Число участников клубных формирований в расчете на 1 тыс. жителей, ед.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Охват населения Белозерского района библиотечным обслуживанием,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Количество посещений музея и выставочных залов,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Охват художественным образованием детей к числу учащихся 1-9 классов,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Доля детей, привлекаемых к участию в творческих мероприятиях от общего числа детей,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Охват населения кинообслуживанием,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Удельный вес учреждений культуры, имеющих удовлетворительное техническое состояние, от общего количества учреждений культуры,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Укомплектованность учреждений культуры квалифицированными кадрами,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Количество предоставленных платных услуг, %.</w:t>
            </w:r>
          </w:p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Количество предоставленных муниципальных услуг в сфере культуры в целом по отрасли, тыс. ед.</w:t>
            </w:r>
          </w:p>
        </w:tc>
      </w:tr>
      <w:tr w:rsidR="00293C84" w:rsidRPr="00293C84" w:rsidTr="00C929B4">
        <w:trPr>
          <w:trHeight w:val="400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lastRenderedPageBreak/>
              <w:t>Сроки реализации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Срок реализации Программы: 2021-2025 годы.</w:t>
            </w:r>
          </w:p>
          <w:p w:rsidR="00293C84" w:rsidRPr="00293C84" w:rsidRDefault="00293C84" w:rsidP="00293C84">
            <w:pPr>
              <w:spacing w:after="0" w:line="240" w:lineRule="auto"/>
              <w:ind w:firstLine="594"/>
              <w:jc w:val="both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293C84" w:rsidRPr="00293C84" w:rsidTr="00C929B4">
        <w:trPr>
          <w:trHeight w:val="1387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Планируемый общий объем  бюджетного финансирования Программы составляет 207 801,5 тыс. руб. в том числе по годам:</w:t>
            </w:r>
          </w:p>
          <w:p w:rsidR="00293C84" w:rsidRPr="00293C84" w:rsidRDefault="00293C84" w:rsidP="00293C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2021 год – 46 728,9 тыс. руб.</w:t>
            </w:r>
          </w:p>
          <w:p w:rsidR="00293C84" w:rsidRPr="00293C84" w:rsidRDefault="00293C84" w:rsidP="00293C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2022 год – 40 268,9 тыс. руб.</w:t>
            </w:r>
          </w:p>
          <w:p w:rsidR="00293C84" w:rsidRPr="00293C84" w:rsidRDefault="00293C84" w:rsidP="00293C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2023 год – 40 267,9 тыс. руб.</w:t>
            </w:r>
          </w:p>
          <w:p w:rsidR="00293C84" w:rsidRPr="00293C84" w:rsidRDefault="00293C84" w:rsidP="00293C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2024 год – 40 267,9 тыс. руб.</w:t>
            </w:r>
          </w:p>
          <w:p w:rsidR="00293C84" w:rsidRPr="00293C84" w:rsidRDefault="00293C84" w:rsidP="00293C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2025 год – 40 267,9 тыс. руб.</w:t>
            </w:r>
          </w:p>
        </w:tc>
      </w:tr>
      <w:tr w:rsidR="00293C84" w:rsidRPr="00293C84" w:rsidTr="00C929B4">
        <w:trPr>
          <w:trHeight w:val="596"/>
        </w:trPr>
        <w:tc>
          <w:tcPr>
            <w:tcW w:w="1816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Ожидаемые результаты</w:t>
            </w:r>
          </w:p>
        </w:tc>
        <w:tc>
          <w:tcPr>
            <w:tcW w:w="7790" w:type="dxa"/>
            <w:shd w:val="clear" w:color="auto" w:fill="auto"/>
          </w:tcPr>
          <w:p w:rsidR="00293C84" w:rsidRPr="00293C84" w:rsidRDefault="00293C84" w:rsidP="00293C84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93C84">
              <w:rPr>
                <w:rFonts w:ascii="PT Astra Sans" w:hAnsi="PT Astra Sans"/>
                <w:sz w:val="24"/>
                <w:szCs w:val="24"/>
              </w:rPr>
              <w:t>Создание благоприятных условий для развития человеческого потенциала и повышения качества жизни за счет обеспечения доступа граждан к культурным ценностям и участию в культурной жизни; реализации творческого потенциала жителей Белозерского района; повышение качества и разнообразия услуг в сфере культуры; укрепление имиджа Белозерского района; повышение уровня социального обеспечения работников культуры; улучшение финансовой поддержки творческих коллективов и работников; реализация социально значимых проектов; укрепление и развитие материально-технической базы учреждений культуры; обеспечение комплексной безопасности, предотвращение материальных потерь, травматизма и гибели посетителей и работников учреждений культуры, выполнение требований правил и норм пожарной, антитеррористической безопасности.</w:t>
            </w:r>
          </w:p>
        </w:tc>
      </w:tr>
    </w:tbl>
    <w:p w:rsidR="009B3C19" w:rsidRPr="00C929B4" w:rsidRDefault="009B3C19" w:rsidP="009B3C19">
      <w:pPr>
        <w:spacing w:after="0" w:line="240" w:lineRule="auto"/>
        <w:jc w:val="both"/>
        <w:rPr>
          <w:rFonts w:ascii="PT Astra Sans" w:hAnsi="PT Astra Sans"/>
          <w:sz w:val="24"/>
          <w:szCs w:val="24"/>
        </w:rPr>
      </w:pPr>
    </w:p>
    <w:p w:rsidR="007D3D39" w:rsidRPr="00C929B4" w:rsidRDefault="00874CCC" w:rsidP="006F1716">
      <w:pPr>
        <w:pStyle w:val="Standard"/>
        <w:rPr>
          <w:rFonts w:ascii="PT Astra Sans" w:hAnsi="PT Astra Sans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9B3C19" w:rsidRPr="00C929B4">
        <w:rPr>
          <w:rFonts w:ascii="PT Astra Sans" w:eastAsia="Times New Roman" w:hAnsi="PT Astra Sans" w:cs="Times New Roman"/>
          <w:lang w:eastAsia="ru-RU" w:bidi="ar-SA"/>
        </w:rPr>
        <w:t xml:space="preserve">         </w:t>
      </w:r>
      <w:r w:rsidR="007D3D39" w:rsidRPr="00C929B4">
        <w:rPr>
          <w:rFonts w:ascii="PT Astra Sans" w:hAnsi="PT Astra Sans"/>
        </w:rPr>
        <w:t> Оценка целевых индикаторов Муниципальной программы «Сохранение и развитие культуры Белозерского района»  на 20</w:t>
      </w:r>
      <w:r w:rsidR="006F1716" w:rsidRPr="00C929B4">
        <w:rPr>
          <w:rFonts w:ascii="PT Astra Sans" w:hAnsi="PT Astra Sans"/>
        </w:rPr>
        <w:t>21</w:t>
      </w:r>
      <w:r w:rsidR="007D3D39" w:rsidRPr="00C929B4">
        <w:rPr>
          <w:rFonts w:ascii="PT Astra Sans" w:hAnsi="PT Astra Sans"/>
        </w:rPr>
        <w:t>-202</w:t>
      </w:r>
      <w:r w:rsidR="006F1716" w:rsidRPr="00C929B4">
        <w:rPr>
          <w:rFonts w:ascii="PT Astra Sans" w:hAnsi="PT Astra Sans"/>
        </w:rPr>
        <w:t>5</w:t>
      </w:r>
      <w:r w:rsidR="007D3D39" w:rsidRPr="00C929B4">
        <w:rPr>
          <w:rFonts w:ascii="PT Astra Sans" w:hAnsi="PT Astra Sans"/>
        </w:rPr>
        <w:t xml:space="preserve"> годы </w:t>
      </w:r>
    </w:p>
    <w:p w:rsidR="006F1716" w:rsidRPr="00C929B4" w:rsidRDefault="006F1716" w:rsidP="006F1716">
      <w:pPr>
        <w:pStyle w:val="Standard"/>
        <w:jc w:val="center"/>
        <w:rPr>
          <w:rFonts w:ascii="PT Astra Sans" w:hAnsi="PT Astra Sans"/>
        </w:rPr>
      </w:pPr>
      <w:r w:rsidRPr="00C929B4">
        <w:rPr>
          <w:rFonts w:ascii="PT Astra Sans" w:hAnsi="PT Astra Sans"/>
        </w:rPr>
        <w:t>202</w:t>
      </w:r>
      <w:r w:rsidR="00A16FCD">
        <w:rPr>
          <w:rFonts w:ascii="PT Astra Sans" w:hAnsi="PT Astra Sans"/>
        </w:rPr>
        <w:t>2</w:t>
      </w:r>
      <w:r w:rsidRPr="00C929B4">
        <w:rPr>
          <w:rFonts w:ascii="PT Astra Sans" w:hAnsi="PT Astra Sans"/>
        </w:rPr>
        <w:t xml:space="preserve"> год</w:t>
      </w:r>
    </w:p>
    <w:p w:rsidR="007D3D39" w:rsidRPr="00C929B4" w:rsidRDefault="007D3D39" w:rsidP="002E7752">
      <w:pPr>
        <w:pStyle w:val="Standard"/>
        <w:jc w:val="both"/>
        <w:rPr>
          <w:rFonts w:ascii="PT Astra Sans" w:hAnsi="PT Astra Sans" w:cs="Times New Roman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992"/>
        <w:gridCol w:w="895"/>
        <w:gridCol w:w="1689"/>
        <w:gridCol w:w="1208"/>
      </w:tblGrid>
      <w:tr w:rsidR="00E70CC7" w:rsidRPr="00835C5C" w:rsidTr="00835C5C">
        <w:tc>
          <w:tcPr>
            <w:tcW w:w="3510" w:type="dxa"/>
            <w:vMerge w:val="restart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784" w:type="dxa"/>
            <w:gridSpan w:val="4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Значение целевого индикатора</w:t>
            </w:r>
          </w:p>
        </w:tc>
      </w:tr>
      <w:tr w:rsidR="00E70CC7" w:rsidRPr="00835C5C" w:rsidTr="00835C5C">
        <w:tc>
          <w:tcPr>
            <w:tcW w:w="3510" w:type="dxa"/>
            <w:vMerge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E70CC7" w:rsidRPr="00835C5C" w:rsidRDefault="006F1716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План</w:t>
            </w:r>
          </w:p>
        </w:tc>
        <w:tc>
          <w:tcPr>
            <w:tcW w:w="895" w:type="dxa"/>
          </w:tcPr>
          <w:p w:rsidR="00E70CC7" w:rsidRPr="00835C5C" w:rsidRDefault="006F1716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Факт</w:t>
            </w:r>
          </w:p>
        </w:tc>
        <w:tc>
          <w:tcPr>
            <w:tcW w:w="1689" w:type="dxa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Отклонение, %</w:t>
            </w:r>
          </w:p>
        </w:tc>
        <w:tc>
          <w:tcPr>
            <w:tcW w:w="1208" w:type="dxa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Оценка в баллах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Показатель посещаемости учреждений всех типов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1,</w:t>
            </w:r>
            <w:r w:rsidR="00A16FCD">
              <w:rPr>
                <w:rFonts w:ascii="PT Astra Sans" w:hAnsi="PT Astra Sans"/>
                <w:bCs/>
              </w:rPr>
              <w:t>1</w:t>
            </w:r>
          </w:p>
        </w:tc>
        <w:tc>
          <w:tcPr>
            <w:tcW w:w="895" w:type="dxa"/>
          </w:tcPr>
          <w:p w:rsidR="006F1716" w:rsidRPr="00835C5C" w:rsidRDefault="00E175B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1,1</w:t>
            </w:r>
          </w:p>
        </w:tc>
        <w:tc>
          <w:tcPr>
            <w:tcW w:w="1689" w:type="dxa"/>
          </w:tcPr>
          <w:p w:rsidR="006F1716" w:rsidRPr="00835C5C" w:rsidRDefault="00E175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0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 xml:space="preserve">Доля лауреатов и дипломантов международных, всероссийских, региональных, межрегиональных, областных, зональных конкурсов и фестивалей в сфере культуры </w:t>
            </w:r>
            <w:r w:rsidR="00C929B4" w:rsidRPr="00835C5C">
              <w:rPr>
                <w:rFonts w:ascii="PT Astra Sans" w:hAnsi="PT Astra Sans"/>
                <w:bCs/>
              </w:rPr>
              <w:t>от общего количества участников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84,8</w:t>
            </w:r>
          </w:p>
        </w:tc>
        <w:tc>
          <w:tcPr>
            <w:tcW w:w="895" w:type="dxa"/>
          </w:tcPr>
          <w:p w:rsidR="006F1716" w:rsidRPr="00835C5C" w:rsidRDefault="007C1FA7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90,0</w:t>
            </w:r>
          </w:p>
        </w:tc>
        <w:tc>
          <w:tcPr>
            <w:tcW w:w="1689" w:type="dxa"/>
          </w:tcPr>
          <w:p w:rsidR="006F1716" w:rsidRPr="00835C5C" w:rsidRDefault="007C1FA7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+5,2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+2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Доля участников клубных формирований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17,9</w:t>
            </w:r>
          </w:p>
        </w:tc>
        <w:tc>
          <w:tcPr>
            <w:tcW w:w="895" w:type="dxa"/>
          </w:tcPr>
          <w:p w:rsidR="006F1716" w:rsidRPr="00835C5C" w:rsidRDefault="00E175B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19,2</w:t>
            </w:r>
          </w:p>
        </w:tc>
        <w:tc>
          <w:tcPr>
            <w:tcW w:w="1689" w:type="dxa"/>
          </w:tcPr>
          <w:p w:rsidR="006F1716" w:rsidRPr="00835C5C" w:rsidRDefault="00E175B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+1,3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+2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</w:rPr>
              <w:t>Посещения культурно-массовых мероприятий учреждений культурно-досугового типа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6F1716" w:rsidRPr="006F1716" w:rsidRDefault="00A16FCD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A16FCD">
              <w:rPr>
                <w:rFonts w:ascii="PT Astra Sans" w:hAnsi="PT Astra Sans"/>
                <w:bCs/>
              </w:rPr>
              <w:t>219,1</w:t>
            </w:r>
          </w:p>
        </w:tc>
        <w:tc>
          <w:tcPr>
            <w:tcW w:w="895" w:type="dxa"/>
          </w:tcPr>
          <w:p w:rsidR="006F1716" w:rsidRPr="00835C5C" w:rsidRDefault="00A16FCD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17</w:t>
            </w:r>
            <w:r w:rsidR="009D44B6">
              <w:rPr>
                <w:rFonts w:ascii="PT Astra Sans" w:hAnsi="PT Astra Sans" w:cs="Times New Roman"/>
                <w:sz w:val="22"/>
                <w:szCs w:val="22"/>
              </w:rPr>
              <w:t>8</w:t>
            </w:r>
            <w:r w:rsidR="00E175B4">
              <w:rPr>
                <w:rFonts w:ascii="PT Astra Sans" w:hAnsi="PT Astra Sans" w:cs="Times New Roman"/>
                <w:sz w:val="22"/>
                <w:szCs w:val="22"/>
              </w:rPr>
              <w:t>,</w:t>
            </w:r>
            <w:r w:rsidR="009D44B6">
              <w:rPr>
                <w:rFonts w:ascii="PT Astra Sans" w:hAnsi="PT Astra Sans" w:cs="Times New Roman"/>
                <w:sz w:val="22"/>
                <w:szCs w:val="22"/>
              </w:rPr>
              <w:t>2</w:t>
            </w:r>
          </w:p>
        </w:tc>
        <w:tc>
          <w:tcPr>
            <w:tcW w:w="1689" w:type="dxa"/>
          </w:tcPr>
          <w:p w:rsidR="006F1716" w:rsidRPr="00835C5C" w:rsidRDefault="00A16FCD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</w:t>
            </w:r>
            <w:r w:rsidR="00E175B4">
              <w:rPr>
                <w:rFonts w:ascii="PT Astra Sans" w:hAnsi="PT Astra Sans"/>
                <w:lang w:eastAsia="zh-CN" w:bidi="hi-IN"/>
              </w:rPr>
              <w:t>4</w:t>
            </w:r>
            <w:r w:rsidR="009D44B6">
              <w:rPr>
                <w:rFonts w:ascii="PT Astra Sans" w:hAnsi="PT Astra Sans"/>
                <w:lang w:eastAsia="zh-CN" w:bidi="hi-IN"/>
              </w:rPr>
              <w:t>0</w:t>
            </w:r>
            <w:r w:rsidR="00E175B4">
              <w:rPr>
                <w:rFonts w:ascii="PT Astra Sans" w:hAnsi="PT Astra Sans"/>
                <w:lang w:eastAsia="zh-CN" w:bidi="hi-IN"/>
              </w:rPr>
              <w:t>,</w:t>
            </w:r>
            <w:r w:rsidR="009D44B6">
              <w:rPr>
                <w:rFonts w:ascii="PT Astra Sans" w:hAnsi="PT Astra Sans"/>
                <w:lang w:eastAsia="zh-CN" w:bidi="hi-IN"/>
              </w:rPr>
              <w:t>9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Охват населения район</w:t>
            </w:r>
            <w:r w:rsidR="00C929B4" w:rsidRPr="00835C5C">
              <w:rPr>
                <w:rFonts w:ascii="PT Astra Sans" w:hAnsi="PT Astra Sans"/>
                <w:bCs/>
              </w:rPr>
              <w:t>а библиотечным обслуживанием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F1716" w:rsidRPr="006F1716" w:rsidRDefault="00A16FCD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A16FCD">
              <w:rPr>
                <w:rFonts w:ascii="PT Astra Sans" w:hAnsi="PT Astra Sans"/>
                <w:bCs/>
              </w:rPr>
              <w:t>57,0</w:t>
            </w:r>
          </w:p>
        </w:tc>
        <w:tc>
          <w:tcPr>
            <w:tcW w:w="895" w:type="dxa"/>
          </w:tcPr>
          <w:p w:rsidR="006F1716" w:rsidRPr="00835C5C" w:rsidRDefault="00E175B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E175B4">
              <w:rPr>
                <w:rFonts w:ascii="PT Astra Sans" w:hAnsi="PT Astra Sans" w:cs="Times New Roman"/>
                <w:sz w:val="22"/>
                <w:szCs w:val="22"/>
              </w:rPr>
              <w:t>57,6</w:t>
            </w:r>
          </w:p>
        </w:tc>
        <w:tc>
          <w:tcPr>
            <w:tcW w:w="1689" w:type="dxa"/>
          </w:tcPr>
          <w:p w:rsidR="006F1716" w:rsidRPr="00835C5C" w:rsidRDefault="00E175B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+0,6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библиотеками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6F1716" w:rsidRPr="006F1716" w:rsidRDefault="00A16FCD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A16FCD">
              <w:rPr>
                <w:rFonts w:ascii="PT Astra Sans" w:hAnsi="PT Astra Sans"/>
                <w:bCs/>
              </w:rPr>
              <w:t>69,4</w:t>
            </w:r>
          </w:p>
        </w:tc>
        <w:tc>
          <w:tcPr>
            <w:tcW w:w="895" w:type="dxa"/>
          </w:tcPr>
          <w:p w:rsidR="006F1716" w:rsidRPr="00835C5C" w:rsidRDefault="00E175B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E175B4">
              <w:rPr>
                <w:rFonts w:ascii="PT Astra Sans" w:hAnsi="PT Astra Sans" w:cs="Times New Roman"/>
                <w:sz w:val="22"/>
                <w:szCs w:val="22"/>
              </w:rPr>
              <w:t>73,2</w:t>
            </w:r>
          </w:p>
        </w:tc>
        <w:tc>
          <w:tcPr>
            <w:tcW w:w="1689" w:type="dxa"/>
          </w:tcPr>
          <w:p w:rsidR="006F1716" w:rsidRPr="00835C5C" w:rsidRDefault="00E175B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+3,8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+2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музеем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6F1716" w:rsidRPr="006F1716" w:rsidRDefault="00A16FCD" w:rsidP="00B1084F">
            <w:pPr>
              <w:jc w:val="center"/>
              <w:rPr>
                <w:rFonts w:ascii="PT Astra Sans" w:hAnsi="PT Astra Sans"/>
              </w:rPr>
            </w:pPr>
            <w:r w:rsidRPr="00A16FCD">
              <w:rPr>
                <w:rFonts w:ascii="PT Astra Sans" w:hAnsi="PT Astra Sans"/>
                <w:bCs/>
              </w:rPr>
              <w:t>12,2</w:t>
            </w:r>
          </w:p>
        </w:tc>
        <w:tc>
          <w:tcPr>
            <w:tcW w:w="895" w:type="dxa"/>
          </w:tcPr>
          <w:p w:rsidR="006F1716" w:rsidRPr="00835C5C" w:rsidRDefault="00E175B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9,3</w:t>
            </w:r>
          </w:p>
        </w:tc>
        <w:tc>
          <w:tcPr>
            <w:tcW w:w="1689" w:type="dxa"/>
          </w:tcPr>
          <w:p w:rsidR="006F1716" w:rsidRPr="00835C5C" w:rsidRDefault="00E175B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-2,9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A16FCD" w:rsidRPr="00835C5C" w:rsidTr="00835C5C">
        <w:tc>
          <w:tcPr>
            <w:tcW w:w="3510" w:type="dxa"/>
          </w:tcPr>
          <w:p w:rsidR="00A16FCD" w:rsidRPr="006F1716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lastRenderedPageBreak/>
              <w:t>Охват художественным образованием детей:</w:t>
            </w:r>
          </w:p>
          <w:p w:rsidR="00A16FCD" w:rsidRPr="006F1716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 xml:space="preserve">-  </w:t>
            </w:r>
            <w:r w:rsidRPr="00835C5C">
              <w:rPr>
                <w:rFonts w:ascii="PT Astra Sans" w:hAnsi="PT Astra Sans"/>
                <w:bCs/>
              </w:rPr>
              <w:t>к числу детей от 5 до 18 лет</w:t>
            </w:r>
          </w:p>
        </w:tc>
        <w:tc>
          <w:tcPr>
            <w:tcW w:w="1276" w:type="dxa"/>
          </w:tcPr>
          <w:p w:rsidR="00A16FCD" w:rsidRPr="00835C5C" w:rsidRDefault="00A16FCD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16FCD" w:rsidRPr="00B54909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14,0</w:t>
            </w:r>
          </w:p>
        </w:tc>
        <w:tc>
          <w:tcPr>
            <w:tcW w:w="895" w:type="dxa"/>
          </w:tcPr>
          <w:p w:rsidR="00A16FCD" w:rsidRPr="00835C5C" w:rsidRDefault="00E175B4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E175B4">
              <w:rPr>
                <w:rFonts w:ascii="PT Astra Sans" w:hAnsi="PT Astra Sans" w:cs="Times New Roman"/>
                <w:sz w:val="22"/>
                <w:szCs w:val="22"/>
              </w:rPr>
              <w:t>9,8</w:t>
            </w:r>
          </w:p>
        </w:tc>
        <w:tc>
          <w:tcPr>
            <w:tcW w:w="1689" w:type="dxa"/>
          </w:tcPr>
          <w:p w:rsidR="00A16FCD" w:rsidRPr="00835C5C" w:rsidRDefault="007C1FA7" w:rsidP="00A16FCD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-4,2</w:t>
            </w:r>
          </w:p>
        </w:tc>
        <w:tc>
          <w:tcPr>
            <w:tcW w:w="1208" w:type="dxa"/>
          </w:tcPr>
          <w:p w:rsidR="00A16FCD" w:rsidRPr="00835C5C" w:rsidRDefault="007C1FA7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A16FCD" w:rsidRPr="00835C5C" w:rsidTr="00835C5C">
        <w:tc>
          <w:tcPr>
            <w:tcW w:w="3510" w:type="dxa"/>
          </w:tcPr>
          <w:p w:rsidR="00A16FCD" w:rsidRPr="006F1716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 xml:space="preserve">- </w:t>
            </w:r>
            <w:r w:rsidRPr="00835C5C">
              <w:rPr>
                <w:rFonts w:ascii="PT Astra Sans" w:hAnsi="PT Astra Sans"/>
                <w:bCs/>
              </w:rPr>
              <w:t>к числу детей от 7 до 15 лет</w:t>
            </w:r>
          </w:p>
        </w:tc>
        <w:tc>
          <w:tcPr>
            <w:tcW w:w="1276" w:type="dxa"/>
          </w:tcPr>
          <w:p w:rsidR="00A16FCD" w:rsidRPr="00835C5C" w:rsidRDefault="00A16FCD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16FCD" w:rsidRPr="00B636FD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  <w:highlight w:val="yellow"/>
              </w:rPr>
            </w:pPr>
            <w:r w:rsidRPr="0003122B">
              <w:rPr>
                <w:rFonts w:ascii="PT Astra Sans" w:hAnsi="PT Astra Sans"/>
                <w:bCs/>
              </w:rPr>
              <w:t>15,2</w:t>
            </w:r>
          </w:p>
        </w:tc>
        <w:tc>
          <w:tcPr>
            <w:tcW w:w="895" w:type="dxa"/>
          </w:tcPr>
          <w:p w:rsidR="00A16FCD" w:rsidRPr="00835C5C" w:rsidRDefault="00E175B4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E175B4">
              <w:rPr>
                <w:rFonts w:ascii="PT Astra Sans" w:hAnsi="PT Astra Sans" w:cs="Times New Roman"/>
                <w:sz w:val="22"/>
                <w:szCs w:val="22"/>
              </w:rPr>
              <w:t>12,2</w:t>
            </w:r>
          </w:p>
        </w:tc>
        <w:tc>
          <w:tcPr>
            <w:tcW w:w="1689" w:type="dxa"/>
          </w:tcPr>
          <w:p w:rsidR="00A16FCD" w:rsidRPr="00835C5C" w:rsidRDefault="007C1FA7" w:rsidP="00A16FCD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-3,0</w:t>
            </w:r>
          </w:p>
        </w:tc>
        <w:tc>
          <w:tcPr>
            <w:tcW w:w="1208" w:type="dxa"/>
          </w:tcPr>
          <w:p w:rsidR="00A16FCD" w:rsidRPr="00835C5C" w:rsidRDefault="007C1FA7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Доля детей, привлекаемых к участию в творческих мероприятиях от общего числа детей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F1716" w:rsidRPr="006F1716" w:rsidRDefault="00A16FCD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A16FCD">
              <w:rPr>
                <w:rFonts w:ascii="PT Astra Sans" w:hAnsi="PT Astra Sans"/>
                <w:bCs/>
              </w:rPr>
              <w:t>66,5</w:t>
            </w:r>
          </w:p>
        </w:tc>
        <w:tc>
          <w:tcPr>
            <w:tcW w:w="895" w:type="dxa"/>
          </w:tcPr>
          <w:p w:rsidR="006F1716" w:rsidRPr="00835C5C" w:rsidRDefault="009D44B6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70,0</w:t>
            </w:r>
          </w:p>
        </w:tc>
        <w:tc>
          <w:tcPr>
            <w:tcW w:w="1689" w:type="dxa"/>
          </w:tcPr>
          <w:p w:rsidR="006F1716" w:rsidRPr="00835C5C" w:rsidRDefault="009D44B6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+3,5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</w:t>
            </w:r>
            <w:r w:rsidR="009D44B6">
              <w:rPr>
                <w:rFonts w:ascii="PT Astra Sans" w:hAnsi="PT Astra Sans" w:cs="Times New Roman"/>
                <w:sz w:val="22"/>
                <w:szCs w:val="22"/>
              </w:rPr>
              <w:t>2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6F1716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  <w:highlight w:val="green"/>
              </w:rPr>
            </w:pPr>
            <w:r w:rsidRPr="006F1716">
              <w:rPr>
                <w:rFonts w:ascii="PT Astra Sans" w:hAnsi="PT Astra Sans"/>
              </w:rPr>
              <w:t>Посещения культурных мероприятий, проводимых детскими школами искусств, ед.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6F1716" w:rsidRPr="006F1716" w:rsidRDefault="00A16FCD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A16FCD">
              <w:rPr>
                <w:rFonts w:ascii="PT Astra Sans" w:hAnsi="PT Astra Sans"/>
                <w:bCs/>
              </w:rPr>
              <w:t>1,3</w:t>
            </w:r>
          </w:p>
        </w:tc>
        <w:tc>
          <w:tcPr>
            <w:tcW w:w="895" w:type="dxa"/>
          </w:tcPr>
          <w:p w:rsidR="006F1716" w:rsidRPr="00835C5C" w:rsidRDefault="007C1FA7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1,3</w:t>
            </w:r>
          </w:p>
        </w:tc>
        <w:tc>
          <w:tcPr>
            <w:tcW w:w="1689" w:type="dxa"/>
          </w:tcPr>
          <w:p w:rsidR="006F1716" w:rsidRPr="00835C5C" w:rsidRDefault="007C1FA7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0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</w:t>
            </w:r>
          </w:p>
        </w:tc>
      </w:tr>
      <w:tr w:rsidR="006F1716" w:rsidRPr="00835C5C" w:rsidTr="00835C5C">
        <w:tc>
          <w:tcPr>
            <w:tcW w:w="3510" w:type="dxa"/>
          </w:tcPr>
          <w:p w:rsidR="006F1716" w:rsidRPr="006F1716" w:rsidRDefault="00C929B4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835C5C">
              <w:rPr>
                <w:rFonts w:ascii="PT Astra Sans" w:hAnsi="PT Astra Sans"/>
                <w:bCs/>
              </w:rPr>
              <w:t>Посещение киномероприятий</w:t>
            </w:r>
          </w:p>
        </w:tc>
        <w:tc>
          <w:tcPr>
            <w:tcW w:w="1276" w:type="dxa"/>
          </w:tcPr>
          <w:p w:rsidR="006F1716" w:rsidRPr="00835C5C" w:rsidRDefault="00C929B4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/>
                <w:bCs/>
                <w:sz w:val="22"/>
                <w:szCs w:val="22"/>
              </w:rPr>
              <w:t>Т</w:t>
            </w:r>
            <w:r w:rsidRPr="006F1716">
              <w:rPr>
                <w:rFonts w:ascii="PT Astra Sans" w:hAnsi="PT Astra Sans"/>
                <w:bCs/>
                <w:sz w:val="22"/>
                <w:szCs w:val="22"/>
              </w:rPr>
              <w:t>ыс. ед.</w:t>
            </w:r>
          </w:p>
        </w:tc>
        <w:tc>
          <w:tcPr>
            <w:tcW w:w="992" w:type="dxa"/>
          </w:tcPr>
          <w:p w:rsidR="006F1716" w:rsidRPr="006F1716" w:rsidRDefault="00A16FCD" w:rsidP="00B1084F">
            <w:pPr>
              <w:jc w:val="center"/>
              <w:rPr>
                <w:rFonts w:ascii="PT Astra Sans" w:hAnsi="PT Astra Sans"/>
              </w:rPr>
            </w:pPr>
            <w:r w:rsidRPr="00A16FCD">
              <w:rPr>
                <w:rFonts w:ascii="PT Astra Sans" w:hAnsi="PT Astra Sans"/>
                <w:bCs/>
              </w:rPr>
              <w:t>9,4</w:t>
            </w:r>
          </w:p>
        </w:tc>
        <w:tc>
          <w:tcPr>
            <w:tcW w:w="895" w:type="dxa"/>
          </w:tcPr>
          <w:p w:rsidR="006F1716" w:rsidRPr="00835C5C" w:rsidRDefault="007C1FA7" w:rsidP="006154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9,0</w:t>
            </w:r>
          </w:p>
        </w:tc>
        <w:tc>
          <w:tcPr>
            <w:tcW w:w="1689" w:type="dxa"/>
          </w:tcPr>
          <w:p w:rsidR="006F1716" w:rsidRPr="00835C5C" w:rsidRDefault="007C1FA7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-0,4</w:t>
            </w:r>
          </w:p>
        </w:tc>
        <w:tc>
          <w:tcPr>
            <w:tcW w:w="1208" w:type="dxa"/>
          </w:tcPr>
          <w:p w:rsidR="006F1716" w:rsidRPr="00835C5C" w:rsidRDefault="007C1F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-2</w:t>
            </w:r>
          </w:p>
        </w:tc>
      </w:tr>
      <w:tr w:rsidR="00A16FCD" w:rsidRPr="00835C5C" w:rsidTr="00835C5C">
        <w:tc>
          <w:tcPr>
            <w:tcW w:w="3510" w:type="dxa"/>
          </w:tcPr>
          <w:p w:rsidR="00A16FCD" w:rsidRPr="006F1716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Удельный вес учреждений культуры, имеющих удовлетворительное техническое состояние, от общего к</w:t>
            </w:r>
            <w:r w:rsidRPr="00835C5C">
              <w:rPr>
                <w:rFonts w:ascii="PT Astra Sans" w:hAnsi="PT Astra Sans"/>
                <w:bCs/>
              </w:rPr>
              <w:t>оличества учреждений культуры</w:t>
            </w:r>
          </w:p>
        </w:tc>
        <w:tc>
          <w:tcPr>
            <w:tcW w:w="1276" w:type="dxa"/>
          </w:tcPr>
          <w:p w:rsidR="00A16FCD" w:rsidRPr="00835C5C" w:rsidRDefault="00A16FCD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16FCD" w:rsidRPr="00B54909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59,2</w:t>
            </w:r>
          </w:p>
          <w:p w:rsidR="00A16FCD" w:rsidRPr="00B54909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  <w:highlight w:val="yellow"/>
              </w:rPr>
            </w:pPr>
          </w:p>
        </w:tc>
        <w:tc>
          <w:tcPr>
            <w:tcW w:w="895" w:type="dxa"/>
          </w:tcPr>
          <w:p w:rsidR="00A16FCD" w:rsidRPr="00835C5C" w:rsidRDefault="007C1FA7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59,2</w:t>
            </w:r>
          </w:p>
        </w:tc>
        <w:tc>
          <w:tcPr>
            <w:tcW w:w="1689" w:type="dxa"/>
          </w:tcPr>
          <w:p w:rsidR="00A16FCD" w:rsidRPr="00835C5C" w:rsidRDefault="007C1FA7" w:rsidP="00A16FCD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0</w:t>
            </w:r>
          </w:p>
        </w:tc>
        <w:tc>
          <w:tcPr>
            <w:tcW w:w="1208" w:type="dxa"/>
          </w:tcPr>
          <w:p w:rsidR="00A16FCD" w:rsidRPr="00835C5C" w:rsidRDefault="007C1FA7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</w:t>
            </w:r>
          </w:p>
        </w:tc>
      </w:tr>
      <w:tr w:rsidR="00A16FCD" w:rsidRPr="00835C5C" w:rsidTr="00835C5C">
        <w:tc>
          <w:tcPr>
            <w:tcW w:w="3510" w:type="dxa"/>
          </w:tcPr>
          <w:p w:rsidR="00A16FCD" w:rsidRPr="006F1716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Укомплектованность учреждений культу</w:t>
            </w:r>
            <w:r w:rsidRPr="00835C5C">
              <w:rPr>
                <w:rFonts w:ascii="PT Astra Sans" w:hAnsi="PT Astra Sans"/>
                <w:bCs/>
              </w:rPr>
              <w:t>ры квалифицированными кадрами</w:t>
            </w:r>
          </w:p>
        </w:tc>
        <w:tc>
          <w:tcPr>
            <w:tcW w:w="1276" w:type="dxa"/>
          </w:tcPr>
          <w:p w:rsidR="00A16FCD" w:rsidRPr="00835C5C" w:rsidRDefault="00A16FCD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16FCD" w:rsidRPr="00B54909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100</w:t>
            </w:r>
          </w:p>
        </w:tc>
        <w:tc>
          <w:tcPr>
            <w:tcW w:w="895" w:type="dxa"/>
          </w:tcPr>
          <w:p w:rsidR="00A16FCD" w:rsidRPr="00835C5C" w:rsidRDefault="009D44B6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</w:t>
            </w:r>
            <w:r w:rsidR="007C1FA7">
              <w:rPr>
                <w:rFonts w:ascii="PT Astra Sans" w:hAnsi="PT Astra Sans" w:cs="Times New Roman"/>
                <w:sz w:val="22"/>
                <w:szCs w:val="22"/>
              </w:rPr>
              <w:t>2</w:t>
            </w:r>
          </w:p>
        </w:tc>
        <w:tc>
          <w:tcPr>
            <w:tcW w:w="1689" w:type="dxa"/>
          </w:tcPr>
          <w:p w:rsidR="00A16FCD" w:rsidRPr="00835C5C" w:rsidRDefault="007C1FA7" w:rsidP="00A16FCD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-8</w:t>
            </w:r>
          </w:p>
        </w:tc>
        <w:tc>
          <w:tcPr>
            <w:tcW w:w="1208" w:type="dxa"/>
          </w:tcPr>
          <w:p w:rsidR="00A16FCD" w:rsidRPr="00835C5C" w:rsidRDefault="009D44B6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-2</w:t>
            </w:r>
          </w:p>
        </w:tc>
      </w:tr>
      <w:tr w:rsidR="00A16FCD" w:rsidRPr="00835C5C" w:rsidTr="00835C5C">
        <w:tc>
          <w:tcPr>
            <w:tcW w:w="3510" w:type="dxa"/>
          </w:tcPr>
          <w:p w:rsidR="00A16FCD" w:rsidRPr="006F1716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Количество предоставленных муниципальных услуг в сфере культуры в целом по отрасли, тыс. ед.</w:t>
            </w:r>
          </w:p>
        </w:tc>
        <w:tc>
          <w:tcPr>
            <w:tcW w:w="1276" w:type="dxa"/>
          </w:tcPr>
          <w:p w:rsidR="00A16FCD" w:rsidRPr="00835C5C" w:rsidRDefault="00A16FCD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/>
                <w:bCs/>
                <w:sz w:val="22"/>
                <w:szCs w:val="22"/>
              </w:rPr>
              <w:t>Т</w:t>
            </w:r>
            <w:r w:rsidRPr="006F1716">
              <w:rPr>
                <w:rFonts w:ascii="PT Astra Sans" w:hAnsi="PT Astra Sans"/>
                <w:bCs/>
                <w:sz w:val="22"/>
                <w:szCs w:val="22"/>
              </w:rPr>
              <w:t>ыс. ед.</w:t>
            </w:r>
          </w:p>
        </w:tc>
        <w:tc>
          <w:tcPr>
            <w:tcW w:w="992" w:type="dxa"/>
          </w:tcPr>
          <w:p w:rsidR="00A16FCD" w:rsidRPr="00B54909" w:rsidRDefault="00A16FCD" w:rsidP="00A16FC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9,7</w:t>
            </w:r>
          </w:p>
        </w:tc>
        <w:tc>
          <w:tcPr>
            <w:tcW w:w="895" w:type="dxa"/>
          </w:tcPr>
          <w:p w:rsidR="00A16FCD" w:rsidRPr="00835C5C" w:rsidRDefault="009D44B6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12,0</w:t>
            </w:r>
          </w:p>
        </w:tc>
        <w:tc>
          <w:tcPr>
            <w:tcW w:w="1689" w:type="dxa"/>
          </w:tcPr>
          <w:p w:rsidR="00A16FCD" w:rsidRPr="00835C5C" w:rsidRDefault="009D44B6" w:rsidP="00A16FCD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</w:t>
            </w:r>
            <w:r w:rsidR="008E4FF4">
              <w:rPr>
                <w:rFonts w:ascii="PT Astra Sans" w:hAnsi="PT Astra Sans"/>
                <w:lang w:eastAsia="zh-CN" w:bidi="hi-IN"/>
              </w:rPr>
              <w:t>2,3</w:t>
            </w:r>
          </w:p>
        </w:tc>
        <w:tc>
          <w:tcPr>
            <w:tcW w:w="1208" w:type="dxa"/>
          </w:tcPr>
          <w:p w:rsidR="00A16FCD" w:rsidRPr="00835C5C" w:rsidRDefault="007C1FA7" w:rsidP="00A16FCD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</w:t>
            </w:r>
            <w:r w:rsidR="009D44B6">
              <w:rPr>
                <w:rFonts w:ascii="PT Astra Sans" w:hAnsi="PT Astra Sans" w:cs="Times New Roman"/>
                <w:sz w:val="22"/>
                <w:szCs w:val="22"/>
              </w:rPr>
              <w:t>4</w:t>
            </w:r>
          </w:p>
        </w:tc>
      </w:tr>
    </w:tbl>
    <w:p w:rsidR="002E7752" w:rsidRPr="00C929B4" w:rsidRDefault="002E7752" w:rsidP="002E7752">
      <w:pPr>
        <w:pStyle w:val="Standard"/>
        <w:jc w:val="both"/>
        <w:rPr>
          <w:rFonts w:ascii="PT Astra Sans" w:hAnsi="PT Astra Sans" w:cs="Times New Roman"/>
        </w:rPr>
      </w:pPr>
    </w:p>
    <w:p w:rsidR="00874CCC" w:rsidRDefault="00874CCC" w:rsidP="007D3D39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   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 xml:space="preserve">Оценка эффективности результатов реализации  Муниципальной программы </w:t>
      </w:r>
      <w:r w:rsidR="00C929B4" w:rsidRPr="00C929B4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>«Сохранение и развитие культуры Белозерского района»  на 20</w:t>
      </w:r>
      <w:r w:rsidR="006154E5">
        <w:rPr>
          <w:rFonts w:ascii="PT Astra Sans" w:eastAsia="Times New Roman" w:hAnsi="PT Astra Sans" w:cs="Times New Roman"/>
          <w:lang w:eastAsia="ru-RU" w:bidi="ar-SA"/>
        </w:rPr>
        <w:t>21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>-202</w:t>
      </w:r>
      <w:r w:rsidR="006154E5">
        <w:rPr>
          <w:rFonts w:ascii="PT Astra Sans" w:eastAsia="Times New Roman" w:hAnsi="PT Astra Sans" w:cs="Times New Roman"/>
          <w:lang w:eastAsia="ru-RU" w:bidi="ar-SA"/>
        </w:rPr>
        <w:t>5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 xml:space="preserve"> годы </w:t>
      </w:r>
    </w:p>
    <w:p w:rsidR="006154E5" w:rsidRPr="00C929B4" w:rsidRDefault="006154E5" w:rsidP="007D3D39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202</w:t>
      </w:r>
      <w:r w:rsidR="00A16FCD">
        <w:rPr>
          <w:rFonts w:ascii="PT Astra Sans" w:eastAsia="Times New Roman" w:hAnsi="PT Astra Sans" w:cs="Times New Roman"/>
          <w:lang w:eastAsia="ru-RU" w:bidi="ar-SA"/>
        </w:rPr>
        <w:t>2</w:t>
      </w:r>
      <w:r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50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1701"/>
        <w:gridCol w:w="3119"/>
      </w:tblGrid>
      <w:tr w:rsidR="002E7752" w:rsidRPr="00C929B4" w:rsidTr="00835C5C">
        <w:trPr>
          <w:trHeight w:val="100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752" w:rsidRPr="00C929B4" w:rsidRDefault="002E7752" w:rsidP="008D2AF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752" w:rsidRPr="00C929B4" w:rsidRDefault="002E7752" w:rsidP="008D2AF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752" w:rsidRPr="00C929B4" w:rsidRDefault="002E7752" w:rsidP="008D2AF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2E7752" w:rsidRPr="00C929B4" w:rsidTr="00835C5C">
        <w:trPr>
          <w:trHeight w:val="240"/>
        </w:trPr>
        <w:tc>
          <w:tcPr>
            <w:tcW w:w="468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752" w:rsidRPr="00C929B4" w:rsidRDefault="002E7752" w:rsidP="000A246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FA7" w:rsidRPr="00C929B4" w:rsidRDefault="008E4FF4" w:rsidP="006154E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752" w:rsidRPr="00C929B4" w:rsidRDefault="002E7752" w:rsidP="006154E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F26725" w:rsidRPr="00C929B4" w:rsidRDefault="00F26725" w:rsidP="00874CC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9B3C19" w:rsidRPr="00C929B4" w:rsidRDefault="009B3C19" w:rsidP="00874CC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845C91" w:rsidRPr="00C929B4" w:rsidRDefault="00D0665C" w:rsidP="00874CC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</w:t>
      </w:r>
      <w:r w:rsidR="00874CCC" w:rsidRPr="00C929B4">
        <w:rPr>
          <w:rFonts w:ascii="PT Astra Sans" w:eastAsia="Times New Roman" w:hAnsi="PT Astra Sans" w:cs="Times New Roman"/>
          <w:lang w:eastAsia="ru-RU" w:bidi="ar-SA"/>
        </w:rPr>
        <w:t>Форма 4. Сведения о финансировании М</w:t>
      </w:r>
      <w:r w:rsidR="00A53F00" w:rsidRPr="00C929B4">
        <w:rPr>
          <w:rFonts w:ascii="PT Astra Sans" w:eastAsia="Times New Roman" w:hAnsi="PT Astra Sans" w:cs="Times New Roman"/>
          <w:lang w:eastAsia="ru-RU" w:bidi="ar-SA"/>
        </w:rPr>
        <w:t>униципальной программы Белозерского района</w:t>
      </w:r>
      <w:r w:rsidR="00874CCC" w:rsidRPr="00C929B4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0A2462" w:rsidRPr="00C929B4">
        <w:rPr>
          <w:rFonts w:ascii="PT Astra Sans" w:eastAsia="Times New Roman" w:hAnsi="PT Astra Sans" w:cs="Times New Roman"/>
          <w:lang w:eastAsia="ru-RU" w:bidi="ar-SA"/>
        </w:rPr>
        <w:t>«Сохранение и развитие культуры Белозерского района» на 20</w:t>
      </w:r>
      <w:r w:rsidR="00C929B4" w:rsidRPr="00C929B4">
        <w:rPr>
          <w:rFonts w:ascii="PT Astra Sans" w:eastAsia="Times New Roman" w:hAnsi="PT Astra Sans" w:cs="Times New Roman"/>
          <w:lang w:eastAsia="ru-RU" w:bidi="ar-SA"/>
        </w:rPr>
        <w:t>21</w:t>
      </w:r>
      <w:r w:rsidR="000A2462" w:rsidRPr="00C929B4">
        <w:rPr>
          <w:rFonts w:ascii="PT Astra Sans" w:eastAsia="Times New Roman" w:hAnsi="PT Astra Sans" w:cs="Times New Roman"/>
          <w:lang w:eastAsia="ru-RU" w:bidi="ar-SA"/>
        </w:rPr>
        <w:t>-202</w:t>
      </w:r>
      <w:r w:rsidR="00C929B4" w:rsidRPr="00C929B4">
        <w:rPr>
          <w:rFonts w:ascii="PT Astra Sans" w:eastAsia="Times New Roman" w:hAnsi="PT Astra Sans" w:cs="Times New Roman"/>
          <w:lang w:eastAsia="ru-RU" w:bidi="ar-SA"/>
        </w:rPr>
        <w:t>5</w:t>
      </w:r>
      <w:r w:rsidR="000A2462" w:rsidRPr="00C929B4">
        <w:rPr>
          <w:rFonts w:ascii="PT Astra Sans" w:eastAsia="Times New Roman" w:hAnsi="PT Astra Sans" w:cs="Times New Roman"/>
          <w:lang w:eastAsia="ru-RU" w:bidi="ar-SA"/>
        </w:rPr>
        <w:t xml:space="preserve"> годы</w:t>
      </w:r>
      <w:r w:rsidR="00845C91" w:rsidRPr="00C929B4">
        <w:rPr>
          <w:rFonts w:ascii="PT Astra Sans" w:eastAsia="Times New Roman" w:hAnsi="PT Astra Sans" w:cs="Times New Roman"/>
          <w:lang w:eastAsia="ru-RU" w:bidi="ar-SA"/>
        </w:rPr>
        <w:t xml:space="preserve"> </w:t>
      </w:r>
    </w:p>
    <w:p w:rsidR="000A2462" w:rsidRPr="00C929B4" w:rsidRDefault="00835C5C" w:rsidP="00835C5C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2551"/>
        <w:gridCol w:w="3119"/>
      </w:tblGrid>
      <w:tr w:rsidR="00C929B4" w:rsidRPr="00C929B4" w:rsidTr="00835C5C">
        <w:tc>
          <w:tcPr>
            <w:tcW w:w="3936" w:type="dxa"/>
            <w:vMerge w:val="restart"/>
          </w:tcPr>
          <w:p w:rsidR="00C929B4" w:rsidRPr="00C929B4" w:rsidRDefault="00C929B4" w:rsidP="008D2AF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5670" w:type="dxa"/>
            <w:gridSpan w:val="2"/>
          </w:tcPr>
          <w:p w:rsidR="00C929B4" w:rsidRPr="00C929B4" w:rsidRDefault="00C929B4" w:rsidP="00C929B4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A16FCD"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  <w:r w:rsidR="008E4FF4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proofErr w:type="gramStart"/>
            <w:r w:rsidR="008E4FF4">
              <w:rPr>
                <w:rFonts w:ascii="PT Astra Sans" w:eastAsia="Times New Roman" w:hAnsi="PT Astra Sans" w:cs="Times New Roman"/>
                <w:lang w:eastAsia="ru-RU" w:bidi="ar-SA"/>
              </w:rPr>
              <w:t xml:space="preserve">год, </w:t>
            </w:r>
            <w:r w:rsidR="008E4FF4" w:rsidRPr="00C929B4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r w:rsidR="008E4FF4" w:rsidRPr="00C929B4">
              <w:rPr>
                <w:rFonts w:ascii="PT Astra Sans" w:eastAsia="Times New Roman" w:hAnsi="PT Astra Sans" w:cs="Times New Roman"/>
                <w:lang w:eastAsia="ru-RU" w:bidi="ar-SA"/>
              </w:rPr>
              <w:t>тыс.</w:t>
            </w:r>
            <w:proofErr w:type="gramEnd"/>
            <w:r w:rsidR="008E4FF4" w:rsidRPr="00C929B4">
              <w:rPr>
                <w:rFonts w:ascii="PT Astra Sans" w:eastAsia="Times New Roman" w:hAnsi="PT Astra Sans" w:cs="Times New Roman"/>
                <w:lang w:eastAsia="ru-RU" w:bidi="ar-SA"/>
              </w:rPr>
              <w:t xml:space="preserve"> рублей</w:t>
            </w:r>
          </w:p>
        </w:tc>
      </w:tr>
      <w:tr w:rsidR="00C929B4" w:rsidRPr="00C929B4" w:rsidTr="00835C5C">
        <w:tc>
          <w:tcPr>
            <w:tcW w:w="3936" w:type="dxa"/>
            <w:vMerge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29B4" w:rsidRPr="00C929B4" w:rsidRDefault="00C929B4" w:rsidP="008D2AF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3119" w:type="dxa"/>
          </w:tcPr>
          <w:p w:rsidR="00C929B4" w:rsidRPr="00C929B4" w:rsidRDefault="00C929B4" w:rsidP="008D2AF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b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b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C929B4" w:rsidRPr="006154E5" w:rsidRDefault="008E4FF4" w:rsidP="008B7D39">
            <w:pPr>
              <w:jc w:val="center"/>
              <w:rPr>
                <w:rFonts w:ascii="PT Astra Sans" w:hAnsi="PT Astra Sans"/>
                <w:b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sz w:val="24"/>
                <w:szCs w:val="24"/>
              </w:rPr>
              <w:t>40267,9</w:t>
            </w:r>
          </w:p>
        </w:tc>
        <w:tc>
          <w:tcPr>
            <w:tcW w:w="3119" w:type="dxa"/>
          </w:tcPr>
          <w:p w:rsidR="00C929B4" w:rsidRPr="00CC27BB" w:rsidRDefault="008914F2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62189</w:t>
            </w:r>
            <w:bookmarkStart w:id="0" w:name="_GoBack"/>
            <w:bookmarkEnd w:id="0"/>
          </w:p>
        </w:tc>
      </w:tr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2551" w:type="dxa"/>
          </w:tcPr>
          <w:p w:rsidR="00C929B4" w:rsidRPr="006154E5" w:rsidRDefault="00C929B4" w:rsidP="00FF479D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C929B4" w:rsidRPr="00CC27BB" w:rsidRDefault="008E4FF4" w:rsidP="00FF479D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7643,0</w:t>
            </w:r>
          </w:p>
        </w:tc>
      </w:tr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2551" w:type="dxa"/>
          </w:tcPr>
          <w:p w:rsidR="00C929B4" w:rsidRPr="006154E5" w:rsidRDefault="00C929B4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C929B4" w:rsidRPr="00CC27BB" w:rsidRDefault="00C929B4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бюджет района</w:t>
            </w:r>
          </w:p>
        </w:tc>
        <w:tc>
          <w:tcPr>
            <w:tcW w:w="2551" w:type="dxa"/>
          </w:tcPr>
          <w:p w:rsidR="00C929B4" w:rsidRPr="006154E5" w:rsidRDefault="00C929B4" w:rsidP="008C48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C929B4" w:rsidRPr="00CC27BB" w:rsidRDefault="008914F2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54546</w:t>
            </w:r>
          </w:p>
        </w:tc>
      </w:tr>
    </w:tbl>
    <w:p w:rsidR="00845C91" w:rsidRPr="00C929B4" w:rsidRDefault="00E349B1" w:rsidP="00E349B1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</w:r>
    </w:p>
    <w:p w:rsidR="00845C91" w:rsidRPr="00C929B4" w:rsidRDefault="00845C91" w:rsidP="00E349B1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</w:p>
    <w:p w:rsidR="00A53F00" w:rsidRPr="00C929B4" w:rsidRDefault="00E349B1" w:rsidP="00E349B1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</w:r>
      <w:r w:rsidR="00A53F00" w:rsidRPr="00C929B4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</w:t>
      </w: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:rsidR="00A82936" w:rsidRPr="00C929B4" w:rsidRDefault="00A82936" w:rsidP="00C929B4">
      <w:pPr>
        <w:tabs>
          <w:tab w:val="left" w:pos="945"/>
        </w:tabs>
        <w:rPr>
          <w:rFonts w:ascii="PT Astra Sans" w:hAnsi="PT Astra Sans"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ab/>
      </w: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sectPr w:rsidR="00A82936" w:rsidRPr="00C929B4" w:rsidSect="006154E5">
      <w:footerReference w:type="default" r:id="rId6"/>
      <w:pgSz w:w="11906" w:h="16838"/>
      <w:pgMar w:top="1134" w:right="1416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A01" w:rsidRDefault="00395A01">
      <w:pPr>
        <w:spacing w:after="0" w:line="240" w:lineRule="auto"/>
      </w:pPr>
      <w:r>
        <w:separator/>
      </w:r>
    </w:p>
  </w:endnote>
  <w:endnote w:type="continuationSeparator" w:id="0">
    <w:p w:rsidR="00395A01" w:rsidRDefault="0039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Calibri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F9B" w:rsidRDefault="005E3F9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C27BB" w:rsidRPr="00CC27BB">
      <w:rPr>
        <w:noProof/>
        <w:lang w:val="ru-RU"/>
      </w:rPr>
      <w:t>3</w:t>
    </w:r>
    <w:r>
      <w:fldChar w:fldCharType="end"/>
    </w:r>
  </w:p>
  <w:p w:rsidR="005E3F9B" w:rsidRDefault="005E3F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A01" w:rsidRDefault="00395A01">
      <w:pPr>
        <w:spacing w:after="0" w:line="240" w:lineRule="auto"/>
      </w:pPr>
      <w:r>
        <w:separator/>
      </w:r>
    </w:p>
  </w:footnote>
  <w:footnote w:type="continuationSeparator" w:id="0">
    <w:p w:rsidR="00395A01" w:rsidRDefault="00395A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DF"/>
    <w:rsid w:val="000100DF"/>
    <w:rsid w:val="00025AC0"/>
    <w:rsid w:val="000A2462"/>
    <w:rsid w:val="00116103"/>
    <w:rsid w:val="00126E81"/>
    <w:rsid w:val="00197681"/>
    <w:rsid w:val="001B2937"/>
    <w:rsid w:val="00293C84"/>
    <w:rsid w:val="002E7752"/>
    <w:rsid w:val="0031231F"/>
    <w:rsid w:val="00347775"/>
    <w:rsid w:val="00395A01"/>
    <w:rsid w:val="0041433A"/>
    <w:rsid w:val="00477D51"/>
    <w:rsid w:val="00491125"/>
    <w:rsid w:val="004A1AFA"/>
    <w:rsid w:val="004E0034"/>
    <w:rsid w:val="0050485E"/>
    <w:rsid w:val="00505A04"/>
    <w:rsid w:val="005E3F9B"/>
    <w:rsid w:val="005E4637"/>
    <w:rsid w:val="006154E5"/>
    <w:rsid w:val="006225E9"/>
    <w:rsid w:val="006F1716"/>
    <w:rsid w:val="00763A05"/>
    <w:rsid w:val="007C1FA7"/>
    <w:rsid w:val="007D3D39"/>
    <w:rsid w:val="00835C5C"/>
    <w:rsid w:val="0084053B"/>
    <w:rsid w:val="00845C91"/>
    <w:rsid w:val="00874CCC"/>
    <w:rsid w:val="0088450D"/>
    <w:rsid w:val="008914F2"/>
    <w:rsid w:val="008949A8"/>
    <w:rsid w:val="008B7D39"/>
    <w:rsid w:val="008C44F7"/>
    <w:rsid w:val="008C48F7"/>
    <w:rsid w:val="008D2AFF"/>
    <w:rsid w:val="008E4FF4"/>
    <w:rsid w:val="009B3C19"/>
    <w:rsid w:val="009D44B6"/>
    <w:rsid w:val="00A1249B"/>
    <w:rsid w:val="00A16FCD"/>
    <w:rsid w:val="00A53F00"/>
    <w:rsid w:val="00A62A0E"/>
    <w:rsid w:val="00A82936"/>
    <w:rsid w:val="00A879DB"/>
    <w:rsid w:val="00AA3052"/>
    <w:rsid w:val="00C05BE3"/>
    <w:rsid w:val="00C53F99"/>
    <w:rsid w:val="00C929B4"/>
    <w:rsid w:val="00C9655B"/>
    <w:rsid w:val="00CA39E0"/>
    <w:rsid w:val="00CC27BB"/>
    <w:rsid w:val="00D0665C"/>
    <w:rsid w:val="00D91CC7"/>
    <w:rsid w:val="00D9549F"/>
    <w:rsid w:val="00DC6316"/>
    <w:rsid w:val="00DF33EC"/>
    <w:rsid w:val="00E175B4"/>
    <w:rsid w:val="00E349B1"/>
    <w:rsid w:val="00E70CC7"/>
    <w:rsid w:val="00EE06E9"/>
    <w:rsid w:val="00F26725"/>
    <w:rsid w:val="00F70A59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993F"/>
  <w15:docId w15:val="{3C971D35-D927-47F7-8169-97967C1B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75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77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53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F0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E0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9B3C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9B3C1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Оксана</cp:lastModifiedBy>
  <cp:revision>2</cp:revision>
  <cp:lastPrinted>2019-06-18T08:03:00Z</cp:lastPrinted>
  <dcterms:created xsi:type="dcterms:W3CDTF">2023-03-09T19:26:00Z</dcterms:created>
  <dcterms:modified xsi:type="dcterms:W3CDTF">2023-03-09T19:26:00Z</dcterms:modified>
</cp:coreProperties>
</file>