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DF" w:rsidRPr="00A51F05" w:rsidRDefault="009243DF" w:rsidP="009243DF">
      <w:pPr>
        <w:jc w:val="center"/>
        <w:rPr>
          <w:rFonts w:ascii="PT Astra Sans" w:hAnsi="PT Astra Sans"/>
          <w:b/>
          <w:sz w:val="28"/>
          <w:szCs w:val="28"/>
        </w:rPr>
      </w:pPr>
      <w:r w:rsidRPr="00A51F05">
        <w:rPr>
          <w:rFonts w:ascii="PT Astra Sans" w:hAnsi="PT Astra Sans"/>
          <w:b/>
          <w:sz w:val="28"/>
          <w:szCs w:val="28"/>
        </w:rPr>
        <w:t>МУНИЦИПАЛЬНАЯ ПРОГРАММА БЕЛОЗЕРСКОГО РАЙОНА</w:t>
      </w:r>
    </w:p>
    <w:p w:rsidR="00EC5C69" w:rsidRPr="00A51F05" w:rsidRDefault="00EC5C69" w:rsidP="00EC5C69">
      <w:pPr>
        <w:jc w:val="center"/>
        <w:rPr>
          <w:rFonts w:ascii="PT Astra Sans" w:hAnsi="PT Astra Sans"/>
          <w:b/>
          <w:sz w:val="28"/>
          <w:szCs w:val="28"/>
        </w:rPr>
      </w:pPr>
      <w:r w:rsidRPr="00A51F05">
        <w:rPr>
          <w:rFonts w:ascii="PT Astra Sans" w:hAnsi="PT Astra Sans"/>
          <w:b/>
          <w:sz w:val="28"/>
          <w:szCs w:val="28"/>
        </w:rPr>
        <w:t>«Обеспечение жильем молодых семей в Белозерском районе»</w:t>
      </w:r>
    </w:p>
    <w:p w:rsidR="009243DF" w:rsidRPr="00A51F05" w:rsidRDefault="00EC5C69" w:rsidP="00EC5C69">
      <w:pPr>
        <w:jc w:val="center"/>
        <w:rPr>
          <w:rFonts w:ascii="PT Astra Sans" w:hAnsi="PT Astra Sans"/>
          <w:sz w:val="28"/>
          <w:szCs w:val="28"/>
        </w:rPr>
      </w:pPr>
      <w:r w:rsidRPr="00A51F05">
        <w:rPr>
          <w:rFonts w:ascii="PT Astra Sans" w:hAnsi="PT Astra Sans"/>
          <w:b/>
          <w:sz w:val="28"/>
          <w:szCs w:val="28"/>
        </w:rPr>
        <w:t>на 2021-2025 годы</w:t>
      </w:r>
    </w:p>
    <w:p w:rsidR="00EC5C69" w:rsidRPr="00A51F05" w:rsidRDefault="00EC5C69" w:rsidP="009243DF">
      <w:pPr>
        <w:jc w:val="center"/>
        <w:rPr>
          <w:rFonts w:ascii="PT Astra Sans" w:hAnsi="PT Astra Sans"/>
          <w:b/>
          <w:sz w:val="28"/>
          <w:szCs w:val="28"/>
        </w:rPr>
      </w:pPr>
    </w:p>
    <w:p w:rsidR="009243DF" w:rsidRPr="00A51F05" w:rsidRDefault="00EC5C69" w:rsidP="009243DF">
      <w:pPr>
        <w:jc w:val="center"/>
        <w:rPr>
          <w:rFonts w:ascii="PT Astra Sans" w:hAnsi="PT Astra Sans"/>
          <w:b/>
          <w:sz w:val="28"/>
          <w:szCs w:val="28"/>
        </w:rPr>
      </w:pPr>
      <w:r w:rsidRPr="00A51F05">
        <w:rPr>
          <w:rFonts w:ascii="PT Astra Sans" w:hAnsi="PT Astra Sans"/>
          <w:b/>
          <w:sz w:val="28"/>
          <w:szCs w:val="28"/>
        </w:rPr>
        <w:t>П</w:t>
      </w:r>
      <w:r w:rsidR="009243DF" w:rsidRPr="00A51F05">
        <w:rPr>
          <w:rFonts w:ascii="PT Astra Sans" w:hAnsi="PT Astra Sans"/>
          <w:b/>
          <w:sz w:val="28"/>
          <w:szCs w:val="28"/>
        </w:rPr>
        <w:t>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4"/>
        <w:gridCol w:w="5911"/>
      </w:tblGrid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«Обеспечение жильем молодых семей в Белозерском районе» на </w:t>
            </w:r>
            <w:r w:rsidR="00EC5C69" w:rsidRPr="00A51F05">
              <w:rPr>
                <w:rFonts w:ascii="PT Astra Sans" w:hAnsi="PT Astra Sans"/>
                <w:sz w:val="24"/>
                <w:szCs w:val="24"/>
              </w:rPr>
              <w:t xml:space="preserve">2021-2025 </w:t>
            </w:r>
            <w:r w:rsidRPr="00A51F05">
              <w:rPr>
                <w:rFonts w:ascii="PT Astra Sans" w:hAnsi="PT Astra Sans"/>
                <w:sz w:val="24"/>
                <w:szCs w:val="24"/>
              </w:rPr>
              <w:t>годы</w:t>
            </w:r>
          </w:p>
        </w:tc>
      </w:tr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Решение Белозерской районной Думы от 23 декабря 2008 года № 96</w:t>
            </w:r>
          </w:p>
        </w:tc>
      </w:tr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Заказчик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Администрация Белозерского района</w:t>
            </w:r>
          </w:p>
        </w:tc>
      </w:tr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Основной разработчик программы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Сектор молодежной политики, спорта и туризма Администрации Белозерского района</w:t>
            </w:r>
          </w:p>
        </w:tc>
      </w:tr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Цель:</w:t>
            </w:r>
          </w:p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Государственная поддержка в решении жилищной проблемы молодых семей Белозерского района, признанных в установленном порядке, нуждающимися в улучшении жилищных условий.</w:t>
            </w:r>
          </w:p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Задачи:</w:t>
            </w:r>
          </w:p>
          <w:p w:rsidR="009243DF" w:rsidRPr="00A51F05" w:rsidRDefault="009243DF" w:rsidP="009243DF">
            <w:pPr>
              <w:pStyle w:val="1"/>
              <w:numPr>
                <w:ilvl w:val="0"/>
                <w:numId w:val="1"/>
              </w:numPr>
              <w:ind w:left="113" w:firstLine="92"/>
              <w:rPr>
                <w:rFonts w:ascii="PT Astra Sans" w:hAnsi="PT Astra Sans"/>
                <w:lang w:val="ru-RU"/>
              </w:rPr>
            </w:pPr>
            <w:r w:rsidRPr="00A51F05">
              <w:rPr>
                <w:rFonts w:ascii="PT Astra Sans" w:hAnsi="PT Astra Sans"/>
                <w:lang w:val="ru-RU"/>
              </w:rP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  <w:p w:rsidR="009243DF" w:rsidRPr="00A51F05" w:rsidRDefault="009243DF" w:rsidP="009243DF">
            <w:pPr>
              <w:pStyle w:val="1"/>
              <w:numPr>
                <w:ilvl w:val="0"/>
                <w:numId w:val="1"/>
              </w:numPr>
              <w:ind w:left="113" w:firstLine="92"/>
              <w:rPr>
                <w:rFonts w:ascii="PT Astra Sans" w:hAnsi="PT Astra Sans"/>
                <w:lang w:val="ru-RU"/>
              </w:rPr>
            </w:pPr>
            <w:r w:rsidRPr="00A51F05">
              <w:rPr>
                <w:rFonts w:ascii="PT Astra Sans" w:hAnsi="PT Astra Sans"/>
                <w:lang w:val="ru-RU"/>
              </w:rPr>
              <w:t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 для приобретения жилья или строительство индивидуального жилого дома.</w:t>
            </w:r>
          </w:p>
        </w:tc>
      </w:tr>
      <w:tr w:rsidR="00693F96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jc w:val="both"/>
              <w:rPr>
                <w:rFonts w:ascii="PT Astra Sans" w:hAnsi="PT Astra Sans"/>
                <w:color w:val="000000"/>
                <w:sz w:val="24"/>
                <w:szCs w:val="24"/>
              </w:rPr>
            </w:pPr>
            <w:r w:rsidRPr="00A51F05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количество молодых семей, получивших свидетельство о праве на получение социальной выплаты на приобретение (строительство) жилого помещения (ед.); 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</w:t>
            </w:r>
            <w:r w:rsidRPr="00A51F05">
              <w:rPr>
                <w:rFonts w:ascii="PT Astra Sans" w:hAnsi="PT Astra Sans"/>
                <w:sz w:val="24"/>
                <w:szCs w:val="24"/>
              </w:rPr>
              <w:t>1 января</w:t>
            </w:r>
            <w:r w:rsidRPr="00A51F05">
              <w:rPr>
                <w:rFonts w:ascii="PT Astra Sans" w:hAnsi="PT Astra Sans"/>
                <w:color w:val="000000"/>
                <w:sz w:val="24"/>
                <w:szCs w:val="24"/>
              </w:rPr>
              <w:t xml:space="preserve"> 2020 года (процент)</w:t>
            </w:r>
          </w:p>
        </w:tc>
      </w:tr>
      <w:tr w:rsidR="009243DF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E31CE0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3DF" w:rsidRPr="00A51F05" w:rsidRDefault="009243DF" w:rsidP="00693F96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20</w:t>
            </w:r>
            <w:r w:rsidR="00693F96" w:rsidRPr="00A51F05">
              <w:rPr>
                <w:rFonts w:ascii="PT Astra Sans" w:hAnsi="PT Astra Sans"/>
                <w:sz w:val="24"/>
                <w:szCs w:val="24"/>
              </w:rPr>
              <w:t>21</w:t>
            </w:r>
            <w:r w:rsidRPr="00A51F05">
              <w:rPr>
                <w:rFonts w:ascii="PT Astra Sans" w:hAnsi="PT Astra Sans"/>
                <w:sz w:val="24"/>
                <w:szCs w:val="24"/>
              </w:rPr>
              <w:t>-202</w:t>
            </w:r>
            <w:r w:rsidR="00693F96" w:rsidRPr="00A51F05">
              <w:rPr>
                <w:rFonts w:ascii="PT Astra Sans" w:hAnsi="PT Astra Sans"/>
                <w:sz w:val="24"/>
                <w:szCs w:val="24"/>
              </w:rPr>
              <w:t>5</w:t>
            </w:r>
            <w:r w:rsidRPr="00A51F05">
              <w:rPr>
                <w:rFonts w:ascii="PT Astra Sans" w:hAnsi="PT Astra Sans"/>
                <w:sz w:val="24"/>
                <w:szCs w:val="24"/>
              </w:rPr>
              <w:t xml:space="preserve"> годы</w:t>
            </w:r>
          </w:p>
        </w:tc>
      </w:tr>
      <w:tr w:rsidR="00693F96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Объем и источники финансирования программы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Основным источником финансирования Программы являются средства федерального и областного бюджета. 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Для реализации Программы привлекаются так </w:t>
            </w:r>
            <w:proofErr w:type="gramStart"/>
            <w:r w:rsidRPr="00A51F05">
              <w:rPr>
                <w:rFonts w:ascii="PT Astra Sans" w:hAnsi="PT Astra Sans"/>
                <w:sz w:val="24"/>
                <w:szCs w:val="24"/>
              </w:rPr>
              <w:t>же  средства</w:t>
            </w:r>
            <w:proofErr w:type="gramEnd"/>
            <w:r w:rsidRPr="00A51F05">
              <w:rPr>
                <w:rFonts w:ascii="PT Astra Sans" w:hAnsi="PT Astra Sans"/>
                <w:sz w:val="24"/>
                <w:szCs w:val="24"/>
              </w:rPr>
              <w:t xml:space="preserve"> районного бюджета, а так же внебюджетные источники – собственные и заемные в кредитных организациях средства молодых семей.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 xml:space="preserve">Планируемый общий объем бюджетного финансирования Программы в 2021-2025 </w:t>
            </w:r>
            <w:proofErr w:type="gramStart"/>
            <w:r w:rsidRPr="00A51F05">
              <w:rPr>
                <w:rFonts w:ascii="PT Astra Sans" w:hAnsi="PT Astra Sans"/>
                <w:sz w:val="24"/>
                <w:szCs w:val="24"/>
              </w:rPr>
              <w:t>годах  составит</w:t>
            </w:r>
            <w:proofErr w:type="gramEnd"/>
            <w:r w:rsidRPr="00A51F05">
              <w:rPr>
                <w:rFonts w:ascii="PT Astra Sans" w:hAnsi="PT Astra Sans"/>
                <w:sz w:val="24"/>
                <w:szCs w:val="24"/>
              </w:rPr>
              <w:t xml:space="preserve"> 50 тысяч рублей, в том числе по годам: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2021 год – 10 000;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2022 год – 10 000;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lastRenderedPageBreak/>
              <w:t>2023 год – 10 000;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2024 год – 10 000;</w:t>
            </w:r>
          </w:p>
          <w:p w:rsidR="00693F96" w:rsidRPr="00A51F05" w:rsidRDefault="00693F96" w:rsidP="00B1084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2025 год – 10 000.</w:t>
            </w:r>
          </w:p>
          <w:p w:rsidR="00693F96" w:rsidRPr="00A51F05" w:rsidRDefault="00693F96" w:rsidP="00B1084F">
            <w:pPr>
              <w:shd w:val="clear" w:color="auto" w:fill="FFFFFF"/>
              <w:spacing w:line="331" w:lineRule="exact"/>
              <w:ind w:left="5" w:right="91" w:firstLine="10"/>
              <w:jc w:val="both"/>
              <w:rPr>
                <w:rFonts w:ascii="PT Astra Sans" w:hAnsi="PT Astra Sans"/>
                <w:b/>
                <w:sz w:val="24"/>
                <w:szCs w:val="24"/>
              </w:rPr>
            </w:pPr>
            <w:r w:rsidRPr="00A51F05">
              <w:rPr>
                <w:rFonts w:ascii="PT Astra Sans" w:hAnsi="PT Astra Sans"/>
                <w:b/>
                <w:sz w:val="24"/>
                <w:szCs w:val="24"/>
              </w:rPr>
              <w:t xml:space="preserve">Средства финансирования программы являются прогнозными </w:t>
            </w:r>
          </w:p>
        </w:tc>
      </w:tr>
      <w:tr w:rsidR="00693F96" w:rsidRPr="00A51F05" w:rsidTr="00693F96"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96" w:rsidRPr="00A51F05" w:rsidRDefault="00693F96" w:rsidP="00B1084F">
            <w:pPr>
              <w:pStyle w:val="2"/>
              <w:ind w:left="85"/>
              <w:jc w:val="both"/>
              <w:rPr>
                <w:rFonts w:ascii="PT Astra Sans" w:hAnsi="PT Astra Sans"/>
                <w:lang w:val="ru-RU"/>
              </w:rPr>
            </w:pPr>
            <w:r w:rsidRPr="00A51F05">
              <w:rPr>
                <w:rFonts w:ascii="PT Astra Sans" w:hAnsi="PT Astra Sans"/>
                <w:lang w:val="ru-RU"/>
              </w:rPr>
              <w:t>Создание условий для повышения уровня обеспеченности жильем молодых семей;</w:t>
            </w:r>
          </w:p>
          <w:p w:rsidR="00693F96" w:rsidRPr="00A51F05" w:rsidRDefault="00693F96" w:rsidP="00B1084F">
            <w:pPr>
              <w:pStyle w:val="2"/>
              <w:ind w:left="85"/>
              <w:jc w:val="both"/>
              <w:rPr>
                <w:rFonts w:ascii="PT Astra Sans" w:hAnsi="PT Astra Sans"/>
                <w:lang w:val="ru-RU"/>
              </w:rPr>
            </w:pPr>
            <w:r w:rsidRPr="00A51F05">
              <w:rPr>
                <w:rFonts w:ascii="PT Astra Sans" w:hAnsi="PT Astra Sans"/>
                <w:lang w:val="ru-RU"/>
              </w:rPr>
              <w:t>Привлечение в жилищную сферу дополнительные средства из федерального и областного бюджетов;</w:t>
            </w:r>
          </w:p>
          <w:p w:rsidR="00693F96" w:rsidRPr="00A51F05" w:rsidRDefault="00693F96" w:rsidP="00B1084F">
            <w:pPr>
              <w:pStyle w:val="2"/>
              <w:ind w:left="85"/>
              <w:jc w:val="both"/>
              <w:rPr>
                <w:rFonts w:ascii="PT Astra Sans" w:hAnsi="PT Astra Sans"/>
                <w:lang w:val="ru-RU"/>
              </w:rPr>
            </w:pPr>
            <w:r w:rsidRPr="00A51F05">
              <w:rPr>
                <w:rFonts w:ascii="PT Astra Sans" w:hAnsi="PT Astra Sans"/>
                <w:lang w:val="ru-RU"/>
              </w:rPr>
              <w:t>Укрепление семейных отношений и снижений социальной напряженности в обществе.</w:t>
            </w:r>
          </w:p>
        </w:tc>
      </w:tr>
    </w:tbl>
    <w:p w:rsidR="009243DF" w:rsidRPr="00B05D5C" w:rsidRDefault="009243DF" w:rsidP="009243DF">
      <w:pPr>
        <w:rPr>
          <w:rFonts w:ascii="PT Astra Sans" w:hAnsi="PT Astra Sans"/>
          <w:b/>
          <w:sz w:val="24"/>
          <w:szCs w:val="24"/>
        </w:rPr>
      </w:pPr>
    </w:p>
    <w:p w:rsidR="00A51F05" w:rsidRPr="00A51F05" w:rsidRDefault="009243DF" w:rsidP="00693F96">
      <w:pPr>
        <w:pStyle w:val="Standard"/>
        <w:ind w:firstLine="708"/>
        <w:jc w:val="both"/>
        <w:rPr>
          <w:rFonts w:ascii="PT Astra Sans" w:hAnsi="PT Astra Sans"/>
          <w:sz w:val="28"/>
          <w:szCs w:val="28"/>
        </w:rPr>
      </w:pP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Форма 2. Оценка целевых индикаторов муниципальной программы «</w:t>
      </w:r>
      <w:r w:rsidR="00693F96" w:rsidRPr="00A51F05">
        <w:rPr>
          <w:rFonts w:ascii="PT Astra Sans" w:hAnsi="PT Astra Sans"/>
          <w:sz w:val="28"/>
          <w:szCs w:val="28"/>
        </w:rPr>
        <w:t xml:space="preserve">Обеспечение жильем молодых семей в Белозерском районе» на 2021-2025 годы </w:t>
      </w:r>
    </w:p>
    <w:p w:rsidR="009243DF" w:rsidRDefault="00693F96" w:rsidP="00A51F05">
      <w:pPr>
        <w:pStyle w:val="Standard"/>
        <w:ind w:firstLine="708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A51F05">
        <w:rPr>
          <w:rFonts w:ascii="PT Astra Sans" w:hAnsi="PT Astra Sans"/>
          <w:sz w:val="28"/>
          <w:szCs w:val="28"/>
        </w:rPr>
        <w:t xml:space="preserve">за </w:t>
      </w: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202</w:t>
      </w:r>
      <w:r w:rsidR="00A51F05"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2</w:t>
      </w: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 xml:space="preserve"> год</w:t>
      </w:r>
    </w:p>
    <w:p w:rsidR="00A51F05" w:rsidRPr="00A51F05" w:rsidRDefault="00A51F05" w:rsidP="00A51F05">
      <w:pPr>
        <w:pStyle w:val="Standard"/>
        <w:ind w:firstLine="708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559"/>
        <w:gridCol w:w="851"/>
        <w:gridCol w:w="850"/>
        <w:gridCol w:w="1418"/>
        <w:gridCol w:w="992"/>
        <w:gridCol w:w="1498"/>
      </w:tblGrid>
      <w:tr w:rsidR="009243DF" w:rsidRPr="00B05D5C" w:rsidTr="00A51F05">
        <w:trPr>
          <w:cantSplit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A51F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5609" w:type="dxa"/>
            <w:gridSpan w:val="5"/>
            <w:tcBorders>
              <w:top w:val="single" w:sz="4" w:space="0" w:color="auto"/>
            </w:tcBorders>
          </w:tcPr>
          <w:tbl>
            <w:tblPr>
              <w:tblW w:w="60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2"/>
              <w:gridCol w:w="850"/>
              <w:gridCol w:w="1418"/>
              <w:gridCol w:w="992"/>
              <w:gridCol w:w="1559"/>
              <w:gridCol w:w="370"/>
            </w:tblGrid>
            <w:tr w:rsidR="009243DF" w:rsidRPr="00B05D5C" w:rsidTr="00A51F05">
              <w:trPr>
                <w:cantSplit/>
                <w:trHeight w:hRule="exact" w:val="286"/>
              </w:trPr>
              <w:tc>
                <w:tcPr>
                  <w:tcW w:w="5651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243DF" w:rsidRPr="00B05D5C" w:rsidTr="00A51F05">
              <w:trPr>
                <w:cantSplit/>
              </w:trPr>
              <w:tc>
                <w:tcPr>
                  <w:tcW w:w="83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41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559" w:type="dxa"/>
                  <w:vAlign w:val="center"/>
                </w:tcPr>
                <w:p w:rsidR="009243DF" w:rsidRPr="00B05D5C" w:rsidRDefault="009243DF" w:rsidP="00A51F05">
                  <w:pPr>
                    <w:spacing w:after="200" w:line="276" w:lineRule="auto"/>
                    <w:jc w:val="center"/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  <w:r w:rsidRPr="00B05D5C"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  <w:t>Причины снижения (увеличения )  показателя</w:t>
                  </w:r>
                </w:p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9243DF" w:rsidRPr="00B05D5C" w:rsidRDefault="009243DF" w:rsidP="00A51F05">
                  <w:pPr>
                    <w:spacing w:after="200" w:line="276" w:lineRule="auto"/>
                    <w:jc w:val="center"/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A51F05">
                  <w:pPr>
                    <w:spacing w:after="200" w:line="276" w:lineRule="auto"/>
                    <w:jc w:val="center"/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A51F05">
                  <w:pPr>
                    <w:spacing w:after="200" w:line="276" w:lineRule="auto"/>
                    <w:jc w:val="center"/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A51F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9243DF" w:rsidRPr="00B05D5C" w:rsidRDefault="009243DF" w:rsidP="00A51F0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9243DF" w:rsidRPr="00B05D5C" w:rsidTr="00A51F05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2B7C8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hAnsi="PT Astra Sans"/>
              </w:rPr>
              <w:t>Количество молодых семей, получивших свидетельство о праве на получение социальной выплаты на приобретение (строи</w:t>
            </w:r>
            <w:r w:rsidR="002B7C8D">
              <w:rPr>
                <w:rFonts w:ascii="PT Astra Sans" w:hAnsi="PT Astra Sans"/>
              </w:rPr>
              <w:t>тельство) жилого помещения в 2021</w:t>
            </w:r>
            <w:r w:rsidRPr="00B05D5C">
              <w:rPr>
                <w:rFonts w:ascii="PT Astra Sans" w:hAnsi="PT Astra Sans"/>
              </w:rPr>
              <w:t xml:space="preserve"> - 202</w:t>
            </w:r>
            <w:r w:rsidR="002B7C8D">
              <w:rPr>
                <w:rFonts w:ascii="PT Astra Sans" w:hAnsi="PT Astra Sans"/>
              </w:rPr>
              <w:t>5</w:t>
            </w:r>
            <w:r w:rsidRPr="00B05D5C">
              <w:rPr>
                <w:rFonts w:ascii="PT Astra Sans" w:hAnsi="PT Astra Sans"/>
              </w:rPr>
              <w:t xml:space="preserve"> годах при оказании содействия за счет средств федерального бюджета и бюджета Курганской области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 xml:space="preserve">Единицы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AF4F47" w:rsidRDefault="00B05D5C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F4F47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AF4F47" w:rsidRDefault="002B7C8D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1D647F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243DF" w:rsidRPr="00B05D5C" w:rsidTr="00E31CE0">
        <w:trPr>
          <w:trHeight w:val="360"/>
        </w:trPr>
        <w:tc>
          <w:tcPr>
            <w:tcW w:w="9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1D647F" w:rsidRPr="00B05D5C" w:rsidTr="00A51F05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AF4F47" w:rsidRDefault="001D647F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F4F47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AF4F47" w:rsidRDefault="001D647F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9243DF" w:rsidRPr="00B05D5C" w:rsidRDefault="009243DF" w:rsidP="009243DF">
      <w:pPr>
        <w:pStyle w:val="Standard"/>
        <w:jc w:val="both"/>
        <w:rPr>
          <w:rFonts w:ascii="PT Astra Sans" w:hAnsi="PT Astra Sans" w:cs="Times New Roman"/>
        </w:rPr>
      </w:pPr>
    </w:p>
    <w:p w:rsidR="00A51F05" w:rsidRDefault="00A51F05" w:rsidP="00B05D5C">
      <w:pPr>
        <w:pStyle w:val="Standard"/>
        <w:ind w:firstLine="708"/>
        <w:jc w:val="both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A51F05" w:rsidRDefault="00A51F05" w:rsidP="00B05D5C">
      <w:pPr>
        <w:pStyle w:val="Standard"/>
        <w:ind w:firstLine="708"/>
        <w:jc w:val="both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A51F05" w:rsidRDefault="009243DF" w:rsidP="00B05D5C">
      <w:pPr>
        <w:pStyle w:val="Standard"/>
        <w:ind w:firstLine="708"/>
        <w:jc w:val="both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Форма 5. Оценка эффективности муниципальной программы «</w:t>
      </w:r>
      <w:r w:rsidRPr="00A51F05">
        <w:rPr>
          <w:rFonts w:ascii="PT Astra Sans" w:hAnsi="PT Astra Sans"/>
          <w:sz w:val="28"/>
          <w:szCs w:val="28"/>
        </w:rPr>
        <w:t>Реализация государственной молодежной политики на территории Белозерского района» на 2016-2020 годы</w:t>
      </w: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 xml:space="preserve">» </w:t>
      </w:r>
    </w:p>
    <w:p w:rsidR="00A51F05" w:rsidRPr="00A51F05" w:rsidRDefault="00A51F05" w:rsidP="00B05D5C">
      <w:pPr>
        <w:pStyle w:val="Standard"/>
        <w:ind w:firstLine="708"/>
        <w:jc w:val="both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9243DF" w:rsidRDefault="009243DF" w:rsidP="00A51F05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за 20</w:t>
      </w:r>
      <w:r w:rsidR="006A5DD4"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2</w:t>
      </w:r>
      <w:r w:rsidR="00A51F05"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>2</w:t>
      </w:r>
      <w:r w:rsidRPr="00A51F05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 xml:space="preserve"> год</w:t>
      </w:r>
    </w:p>
    <w:p w:rsidR="00A51F05" w:rsidRPr="00A51F05" w:rsidRDefault="00A51F05" w:rsidP="00A51F05">
      <w:pPr>
        <w:pStyle w:val="Standard"/>
        <w:ind w:firstLine="708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9243DF" w:rsidRPr="00B05D5C" w:rsidTr="00E31CE0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9243DF" w:rsidRPr="00B05D5C" w:rsidTr="00E31CE0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9243DF" w:rsidP="001D647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6A5DD4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</w:t>
            </w:r>
            <w:r w:rsidR="001D647F">
              <w:rPr>
                <w:rFonts w:ascii="PT Astra Sans" w:eastAsia="Times New Roman" w:hAnsi="PT Astra Sans" w:cs="Times New Roman"/>
                <w:lang w:eastAsia="ru-RU" w:bidi="ar-SA"/>
              </w:rPr>
              <w:t>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1D647F" w:rsidP="001D647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     1</w:t>
            </w:r>
            <w:r w:rsidR="009243DF" w:rsidRPr="006A5DD4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9243D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243DF" w:rsidRPr="00A51F05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</w:pPr>
      <w:r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>Информация</w:t>
      </w:r>
    </w:p>
    <w:p w:rsidR="009243DF" w:rsidRPr="00A51F05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</w:pPr>
      <w:r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 xml:space="preserve">о финансировании муниципальной программы </w:t>
      </w:r>
    </w:p>
    <w:p w:rsidR="001B2868" w:rsidRPr="00A51F05" w:rsidRDefault="001B2868" w:rsidP="001B2868">
      <w:pPr>
        <w:jc w:val="center"/>
        <w:rPr>
          <w:rFonts w:ascii="PT Astra Sans" w:hAnsi="PT Astra Sans"/>
          <w:bCs/>
          <w:sz w:val="28"/>
          <w:szCs w:val="28"/>
          <w:u w:val="single"/>
        </w:rPr>
      </w:pPr>
      <w:r w:rsidRPr="00A51F05">
        <w:rPr>
          <w:rFonts w:ascii="PT Astra Sans" w:hAnsi="PT Astra Sans"/>
          <w:bCs/>
          <w:sz w:val="28"/>
          <w:szCs w:val="28"/>
          <w:u w:val="single"/>
        </w:rPr>
        <w:t>«Обеспечение жильем молодых семей в Белозерском районе»</w:t>
      </w:r>
    </w:p>
    <w:p w:rsidR="001B2868" w:rsidRPr="00A51F05" w:rsidRDefault="00693F96" w:rsidP="001B2868">
      <w:pPr>
        <w:jc w:val="center"/>
        <w:rPr>
          <w:rFonts w:ascii="PT Astra Sans" w:hAnsi="PT Astra Sans"/>
          <w:bCs/>
          <w:sz w:val="28"/>
          <w:szCs w:val="28"/>
          <w:u w:val="single"/>
        </w:rPr>
      </w:pPr>
      <w:r w:rsidRPr="00A51F05">
        <w:rPr>
          <w:rFonts w:ascii="PT Astra Sans" w:hAnsi="PT Astra Sans"/>
          <w:bCs/>
          <w:sz w:val="28"/>
          <w:szCs w:val="28"/>
          <w:u w:val="single"/>
        </w:rPr>
        <w:t xml:space="preserve"> на 2021</w:t>
      </w:r>
      <w:r w:rsidR="001B2868" w:rsidRPr="00A51F05">
        <w:rPr>
          <w:rFonts w:ascii="PT Astra Sans" w:hAnsi="PT Astra Sans"/>
          <w:bCs/>
          <w:sz w:val="28"/>
          <w:szCs w:val="28"/>
          <w:u w:val="single"/>
        </w:rPr>
        <w:t>-202</w:t>
      </w:r>
      <w:r w:rsidRPr="00A51F05">
        <w:rPr>
          <w:rFonts w:ascii="PT Astra Sans" w:hAnsi="PT Astra Sans"/>
          <w:bCs/>
          <w:sz w:val="28"/>
          <w:szCs w:val="28"/>
          <w:u w:val="single"/>
        </w:rPr>
        <w:t>5</w:t>
      </w:r>
      <w:r w:rsidR="001B2868" w:rsidRPr="00A51F05">
        <w:rPr>
          <w:rFonts w:ascii="PT Astra Sans" w:hAnsi="PT Astra Sans"/>
          <w:bCs/>
          <w:sz w:val="28"/>
          <w:szCs w:val="28"/>
          <w:u w:val="single"/>
        </w:rPr>
        <w:t xml:space="preserve"> годы</w:t>
      </w:r>
    </w:p>
    <w:p w:rsidR="00A51F05" w:rsidRPr="00A51F05" w:rsidRDefault="00A51F05" w:rsidP="009243DF">
      <w:pPr>
        <w:pStyle w:val="Standard"/>
        <w:jc w:val="center"/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</w:pPr>
    </w:p>
    <w:p w:rsidR="009243DF" w:rsidRPr="00A51F05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</w:pPr>
      <w:r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>за 20</w:t>
      </w:r>
      <w:r w:rsidR="006A5DD4"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>2</w:t>
      </w:r>
      <w:r w:rsidR="00A51F05"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>2</w:t>
      </w:r>
      <w:r w:rsidRPr="00A51F05">
        <w:rPr>
          <w:rFonts w:ascii="PT Astra Sans" w:eastAsia="Times New Roman" w:hAnsi="PT Astra Sans" w:cs="Times New Roman"/>
          <w:bCs/>
          <w:sz w:val="28"/>
          <w:szCs w:val="28"/>
          <w:lang w:eastAsia="ru-RU" w:bidi="ar-SA"/>
        </w:rPr>
        <w:t xml:space="preserve"> год</w:t>
      </w:r>
    </w:p>
    <w:p w:rsidR="009243DF" w:rsidRPr="00B05D5C" w:rsidRDefault="009243DF" w:rsidP="009243DF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51F05">
        <w:rPr>
          <w:rFonts w:ascii="PT Astra Sans" w:eastAsia="Times New Roman" w:hAnsi="PT Astra Sans" w:cs="Times New Roman"/>
          <w:bCs/>
          <w:lang w:eastAsia="ru-RU" w:bidi="ar-SA"/>
        </w:rPr>
        <w:tab/>
      </w:r>
      <w:r w:rsidRPr="00B05D5C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2594"/>
        <w:gridCol w:w="2552"/>
      </w:tblGrid>
      <w:tr w:rsidR="009243DF" w:rsidRPr="00B05D5C" w:rsidTr="00A51F05">
        <w:trPr>
          <w:trHeight w:val="464"/>
        </w:trPr>
        <w:tc>
          <w:tcPr>
            <w:tcW w:w="4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DF" w:rsidRPr="00B05D5C" w:rsidRDefault="009243DF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05" w:rsidRDefault="009243DF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bCs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  <w:r w:rsidR="00A51F05">
              <w:rPr>
                <w:rFonts w:ascii="PT Astra Sans" w:eastAsia="Times New Roman" w:hAnsi="PT Astra Sans" w:cs="Times New Roman"/>
                <w:bCs/>
                <w:lang w:eastAsia="ru-RU" w:bidi="ar-SA"/>
              </w:rPr>
              <w:t xml:space="preserve">            </w:t>
            </w:r>
          </w:p>
          <w:p w:rsidR="009243DF" w:rsidRPr="00B05D5C" w:rsidRDefault="00A51F05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bCs/>
                <w:lang w:eastAsia="ru-RU" w:bidi="ar-SA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05" w:rsidRDefault="00A51F05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Ф</w:t>
            </w:r>
            <w:r w:rsidR="009243DF" w:rsidRPr="00B05D5C">
              <w:rPr>
                <w:rFonts w:ascii="PT Astra Sans" w:eastAsia="Times New Roman" w:hAnsi="PT Astra Sans" w:cs="Times New Roman"/>
                <w:lang w:eastAsia="ru-RU" w:bidi="ar-SA"/>
              </w:rPr>
              <w:t>акт</w:t>
            </w:r>
          </w:p>
          <w:p w:rsidR="009243DF" w:rsidRPr="00B05D5C" w:rsidRDefault="00A51F05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 xml:space="preserve"> тыс. рублей</w:t>
            </w:r>
          </w:p>
        </w:tc>
      </w:tr>
      <w:tr w:rsidR="009243DF" w:rsidRPr="00B05D5C" w:rsidTr="00A51F05">
        <w:trPr>
          <w:trHeight w:val="464"/>
        </w:trPr>
        <w:tc>
          <w:tcPr>
            <w:tcW w:w="4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9243DF" w:rsidRPr="00B05D5C" w:rsidTr="00A51F0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  <w:r w:rsidR="00A51F05">
              <w:rPr>
                <w:rFonts w:ascii="PT Astra Sans" w:hAnsi="PT Astra Sans"/>
                <w:kern w:val="3"/>
                <w:sz w:val="24"/>
                <w:szCs w:val="24"/>
              </w:rPr>
              <w:t>: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A51F05" w:rsidRDefault="000512D8" w:rsidP="005047A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1633</w:t>
            </w:r>
            <w:r w:rsidR="005047A5">
              <w:rPr>
                <w:rFonts w:ascii="PT Astra Sans" w:hAnsi="PT Astra Sans"/>
                <w:sz w:val="24"/>
                <w:szCs w:val="24"/>
              </w:rPr>
              <w:t>,</w:t>
            </w:r>
            <w:r w:rsidR="00A51F05">
              <w:rPr>
                <w:rFonts w:ascii="PT Astra Sans" w:hAnsi="PT Astra Sans"/>
                <w:sz w:val="24"/>
                <w:szCs w:val="24"/>
              </w:rPr>
              <w:t>56</w:t>
            </w:r>
            <w:r w:rsidRPr="00A51F05">
              <w:rPr>
                <w:rFonts w:ascii="PT Astra Sans" w:hAnsi="PT Astra Sans"/>
                <w:sz w:val="24"/>
                <w:szCs w:val="24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A51F05" w:rsidRDefault="000512D8" w:rsidP="005047A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1633</w:t>
            </w:r>
            <w:r w:rsidR="005047A5">
              <w:rPr>
                <w:rFonts w:ascii="PT Astra Sans" w:hAnsi="PT Astra Sans"/>
                <w:sz w:val="24"/>
                <w:szCs w:val="24"/>
              </w:rPr>
              <w:t>,</w:t>
            </w:r>
            <w:r w:rsidR="00A51F05">
              <w:rPr>
                <w:rFonts w:ascii="PT Astra Sans" w:hAnsi="PT Astra Sans"/>
                <w:sz w:val="24"/>
                <w:szCs w:val="24"/>
              </w:rPr>
              <w:t>56</w:t>
            </w:r>
            <w:r w:rsidRPr="00A51F05">
              <w:rPr>
                <w:rFonts w:ascii="PT Astra Sans" w:hAnsi="PT Astra Sans"/>
                <w:sz w:val="24"/>
                <w:szCs w:val="24"/>
              </w:rPr>
              <w:t>48</w:t>
            </w:r>
          </w:p>
        </w:tc>
      </w:tr>
      <w:tr w:rsidR="000512D8" w:rsidRPr="00B05D5C" w:rsidTr="00A51F0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D8" w:rsidRPr="00B05D5C" w:rsidRDefault="000512D8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2D8" w:rsidRPr="00A51F05" w:rsidRDefault="000512D8" w:rsidP="000512D8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1625</w:t>
            </w:r>
            <w:r w:rsidR="005047A5">
              <w:rPr>
                <w:rFonts w:ascii="PT Astra Sans" w:hAnsi="PT Astra Sans"/>
                <w:sz w:val="24"/>
                <w:szCs w:val="24"/>
              </w:rPr>
              <w:t>,</w:t>
            </w:r>
            <w:r w:rsidRPr="00A51F05">
              <w:rPr>
                <w:rFonts w:ascii="PT Astra Sans" w:hAnsi="PT Astra Sans"/>
                <w:sz w:val="24"/>
                <w:szCs w:val="24"/>
              </w:rPr>
              <w:t>91004</w:t>
            </w:r>
          </w:p>
          <w:p w:rsidR="000512D8" w:rsidRPr="00A51F05" w:rsidRDefault="000512D8" w:rsidP="000512D8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2D8" w:rsidRPr="00A51F05" w:rsidRDefault="000512D8" w:rsidP="005047A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51F05">
              <w:rPr>
                <w:rFonts w:ascii="PT Astra Sans" w:hAnsi="PT Astra Sans"/>
                <w:sz w:val="24"/>
                <w:szCs w:val="24"/>
              </w:rPr>
              <w:t>1625</w:t>
            </w:r>
            <w:r w:rsidR="005047A5">
              <w:rPr>
                <w:rFonts w:ascii="PT Astra Sans" w:hAnsi="PT Astra Sans"/>
                <w:sz w:val="24"/>
                <w:szCs w:val="24"/>
              </w:rPr>
              <w:t>,</w:t>
            </w:r>
            <w:r w:rsidRPr="00A51F05">
              <w:rPr>
                <w:rFonts w:ascii="PT Astra Sans" w:hAnsi="PT Astra Sans"/>
                <w:sz w:val="24"/>
                <w:szCs w:val="24"/>
              </w:rPr>
              <w:t>91004</w:t>
            </w:r>
          </w:p>
        </w:tc>
      </w:tr>
      <w:tr w:rsidR="000512D8" w:rsidRPr="00B05D5C" w:rsidTr="00A51F0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D8" w:rsidRPr="00B05D5C" w:rsidRDefault="000512D8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D8" w:rsidRPr="00A51F05" w:rsidRDefault="000512D8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D8" w:rsidRPr="00A51F05" w:rsidRDefault="000512D8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9243DF" w:rsidRPr="00B05D5C" w:rsidTr="00A51F0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 xml:space="preserve"> бюджет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A51F05" w:rsidRDefault="000512D8" w:rsidP="005047A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51F05">
              <w:rPr>
                <w:rFonts w:ascii="PT Astra Sans" w:hAnsi="PT Astra Sans"/>
                <w:kern w:val="3"/>
                <w:sz w:val="24"/>
                <w:szCs w:val="24"/>
              </w:rPr>
              <w:t>7</w:t>
            </w:r>
            <w:r w:rsidR="005047A5">
              <w:rPr>
                <w:rFonts w:ascii="PT Astra Sans" w:hAnsi="PT Astra Sans"/>
                <w:kern w:val="3"/>
                <w:sz w:val="24"/>
                <w:szCs w:val="24"/>
              </w:rPr>
              <w:t>,</w:t>
            </w:r>
            <w:r w:rsidRPr="00A51F05">
              <w:rPr>
                <w:rFonts w:ascii="PT Astra Sans" w:hAnsi="PT Astra Sans"/>
                <w:kern w:val="3"/>
                <w:sz w:val="24"/>
                <w:szCs w:val="24"/>
              </w:rPr>
              <w:t>65476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A51F05" w:rsidRDefault="000512D8" w:rsidP="005047A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51F05">
              <w:rPr>
                <w:rFonts w:ascii="PT Astra Sans" w:hAnsi="PT Astra Sans"/>
                <w:kern w:val="3"/>
                <w:sz w:val="24"/>
                <w:szCs w:val="24"/>
              </w:rPr>
              <w:t>7</w:t>
            </w:r>
            <w:r w:rsidR="005047A5">
              <w:rPr>
                <w:rFonts w:ascii="PT Astra Sans" w:hAnsi="PT Astra Sans"/>
                <w:kern w:val="3"/>
                <w:sz w:val="24"/>
                <w:szCs w:val="24"/>
              </w:rPr>
              <w:t>,</w:t>
            </w:r>
            <w:r w:rsidRPr="00A51F05">
              <w:rPr>
                <w:rFonts w:ascii="PT Astra Sans" w:hAnsi="PT Astra Sans"/>
                <w:kern w:val="3"/>
                <w:sz w:val="24"/>
                <w:szCs w:val="24"/>
              </w:rPr>
              <w:t>654</w:t>
            </w:r>
            <w:bookmarkStart w:id="0" w:name="_GoBack"/>
            <w:bookmarkEnd w:id="0"/>
            <w:r w:rsidRPr="00A51F05">
              <w:rPr>
                <w:rFonts w:ascii="PT Astra Sans" w:hAnsi="PT Astra Sans"/>
                <w:kern w:val="3"/>
                <w:sz w:val="24"/>
                <w:szCs w:val="24"/>
              </w:rPr>
              <w:t>76</w:t>
            </w:r>
          </w:p>
        </w:tc>
      </w:tr>
    </w:tbl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D060C1" w:rsidRPr="00B05D5C" w:rsidRDefault="00D060C1">
      <w:pPr>
        <w:rPr>
          <w:rFonts w:ascii="PT Astra Sans" w:hAnsi="PT Astra Sans"/>
          <w:sz w:val="24"/>
          <w:szCs w:val="24"/>
        </w:rPr>
      </w:pPr>
    </w:p>
    <w:sectPr w:rsidR="00D060C1" w:rsidRPr="00B05D5C" w:rsidSect="00DC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F4D"/>
    <w:multiLevelType w:val="hybridMultilevel"/>
    <w:tmpl w:val="99DE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C13B3"/>
    <w:multiLevelType w:val="hybridMultilevel"/>
    <w:tmpl w:val="7164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DF"/>
    <w:rsid w:val="000512D8"/>
    <w:rsid w:val="001B2868"/>
    <w:rsid w:val="001D647F"/>
    <w:rsid w:val="002B7C8D"/>
    <w:rsid w:val="005047A5"/>
    <w:rsid w:val="00693F96"/>
    <w:rsid w:val="006A5DD4"/>
    <w:rsid w:val="009243DF"/>
    <w:rsid w:val="00A51F05"/>
    <w:rsid w:val="00AF4F47"/>
    <w:rsid w:val="00B05D5C"/>
    <w:rsid w:val="00D060C1"/>
    <w:rsid w:val="00DC25A3"/>
    <w:rsid w:val="00EC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70574-7612-4988-ADD7-0C8EF582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43DF"/>
    <w:pPr>
      <w:ind w:left="720"/>
    </w:pPr>
    <w:rPr>
      <w:rFonts w:ascii="Calibri" w:hAnsi="Calibri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9243D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Standard">
    <w:name w:val="Standard"/>
    <w:rsid w:val="009243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Абзац списка2"/>
    <w:basedOn w:val="a"/>
    <w:rsid w:val="00693F96"/>
    <w:pPr>
      <w:ind w:left="720"/>
    </w:pPr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dcterms:created xsi:type="dcterms:W3CDTF">2023-03-09T17:28:00Z</dcterms:created>
  <dcterms:modified xsi:type="dcterms:W3CDTF">2023-03-31T10:40:00Z</dcterms:modified>
</cp:coreProperties>
</file>